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447" w:type="pct"/>
        <w:tblInd w:w="-714" w:type="dxa"/>
        <w:tblLook w:val="04A0"/>
      </w:tblPr>
      <w:tblGrid>
        <w:gridCol w:w="15491"/>
      </w:tblGrid>
      <w:tr w:rsidR="009C4DE5" w:rsidRPr="006B3865" w:rsidTr="00CA26D1">
        <w:trPr>
          <w:trHeight w:val="702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9C4DE5" w:rsidRPr="006B3865" w:rsidRDefault="008B0F43" w:rsidP="008B0F43">
            <w:pPr>
              <w:pStyle w:val="Default"/>
              <w:rPr>
                <w:sz w:val="22"/>
                <w:szCs w:val="22"/>
              </w:rPr>
            </w:pPr>
            <w:r w:rsidRPr="006B3865">
              <w:rPr>
                <w:sz w:val="22"/>
                <w:szCs w:val="22"/>
              </w:rPr>
              <w:t xml:space="preserve">Prezentacja </w:t>
            </w:r>
            <w:r w:rsidRPr="006B3865">
              <w:rPr>
                <w:b/>
                <w:sz w:val="22"/>
                <w:szCs w:val="22"/>
              </w:rPr>
              <w:t>głównych celów</w:t>
            </w:r>
            <w:r w:rsidRPr="006B3865">
              <w:rPr>
                <w:sz w:val="22"/>
                <w:szCs w:val="22"/>
              </w:rPr>
              <w:t xml:space="preserve"> i przesłanek leżących u podstaw opracowania Plan</w:t>
            </w:r>
            <w:r w:rsidR="006B3865" w:rsidRPr="006B3865">
              <w:rPr>
                <w:sz w:val="22"/>
                <w:szCs w:val="22"/>
              </w:rPr>
              <w:t>u</w:t>
            </w:r>
            <w:r w:rsidRPr="006B3865">
              <w:rPr>
                <w:sz w:val="22"/>
                <w:szCs w:val="22"/>
              </w:rPr>
              <w:t xml:space="preserve"> komunikacji z lokalną społecznością. </w:t>
            </w:r>
          </w:p>
        </w:tc>
      </w:tr>
      <w:tr w:rsidR="009C4DE5" w:rsidRPr="006B3865" w:rsidTr="00CA26D1">
        <w:trPr>
          <w:trHeight w:val="969"/>
        </w:trPr>
        <w:tc>
          <w:tcPr>
            <w:tcW w:w="5000" w:type="pct"/>
            <w:shd w:val="clear" w:color="auto" w:fill="auto"/>
            <w:vAlign w:val="center"/>
          </w:tcPr>
          <w:p w:rsidR="0020143D" w:rsidRPr="00C23179" w:rsidRDefault="005E53BB" w:rsidP="0020143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</w:t>
            </w:r>
            <w:r w:rsidR="00A66B4C">
              <w:rPr>
                <w:rFonts w:ascii="Times New Roman" w:hAnsi="Times New Roman" w:cs="Times New Roman"/>
              </w:rPr>
              <w:t xml:space="preserve"> komunikacji </w:t>
            </w:r>
            <w:r w:rsidR="00B53515">
              <w:rPr>
                <w:rFonts w:ascii="Times New Roman" w:hAnsi="Times New Roman" w:cs="Times New Roman"/>
              </w:rPr>
              <w:t xml:space="preserve">Stowarzyszenia „Na Śliwkowym Szlaku” </w:t>
            </w:r>
            <w:r w:rsidR="00A66B4C">
              <w:rPr>
                <w:rFonts w:ascii="Times New Roman" w:hAnsi="Times New Roman" w:cs="Times New Roman"/>
              </w:rPr>
              <w:t>w</w:t>
            </w:r>
            <w:r w:rsidR="0020143D" w:rsidRPr="00C23179">
              <w:rPr>
                <w:rFonts w:ascii="Times New Roman" w:hAnsi="Times New Roman" w:cs="Times New Roman"/>
              </w:rPr>
              <w:t>ynika</w:t>
            </w:r>
            <w:r>
              <w:rPr>
                <w:rFonts w:ascii="Times New Roman" w:hAnsi="Times New Roman" w:cs="Times New Roman"/>
              </w:rPr>
              <w:t xml:space="preserve"> bezpośrednio</w:t>
            </w:r>
            <w:r w:rsidR="0020143D" w:rsidRPr="00C23179">
              <w:rPr>
                <w:rFonts w:ascii="Times New Roman" w:hAnsi="Times New Roman" w:cs="Times New Roman"/>
              </w:rPr>
              <w:t xml:space="preserve"> z c</w:t>
            </w:r>
            <w:r w:rsidR="00A66B4C">
              <w:rPr>
                <w:rFonts w:ascii="Times New Roman" w:hAnsi="Times New Roman" w:cs="Times New Roman"/>
              </w:rPr>
              <w:t>ech podejścia LEADER, tj.</w:t>
            </w:r>
            <w:r w:rsidR="0020143D" w:rsidRPr="00C23179">
              <w:rPr>
                <w:rFonts w:ascii="Times New Roman" w:hAnsi="Times New Roman" w:cs="Times New Roman"/>
              </w:rPr>
              <w:t xml:space="preserve"> oddolność, zintegrowanie</w:t>
            </w:r>
            <w:r w:rsidR="00A66B4C">
              <w:rPr>
                <w:rFonts w:ascii="Times New Roman" w:hAnsi="Times New Roman" w:cs="Times New Roman"/>
              </w:rPr>
              <w:t>, partnerstwo, innowacyjność,</w:t>
            </w:r>
            <w:r w:rsidR="0020143D" w:rsidRPr="00C23179">
              <w:rPr>
                <w:rFonts w:ascii="Times New Roman" w:hAnsi="Times New Roman" w:cs="Times New Roman"/>
              </w:rPr>
              <w:t xml:space="preserve"> sieciowanie. </w:t>
            </w:r>
            <w:r w:rsidR="00A66B4C">
              <w:rPr>
                <w:rFonts w:ascii="Times New Roman" w:hAnsi="Times New Roman" w:cs="Times New Roman"/>
              </w:rPr>
              <w:t xml:space="preserve"> </w:t>
            </w:r>
            <w:r w:rsidR="009B370B">
              <w:rPr>
                <w:rFonts w:ascii="Times New Roman" w:hAnsi="Times New Roman" w:cs="Times New Roman"/>
              </w:rPr>
              <w:t>Jak pokazuje doświadczenie, w  procesie</w:t>
            </w:r>
            <w:r w:rsidR="00A66B4C" w:rsidRPr="00C23179">
              <w:rPr>
                <w:rFonts w:ascii="Times New Roman" w:hAnsi="Times New Roman" w:cs="Times New Roman"/>
              </w:rPr>
              <w:t xml:space="preserve"> wdrażania LSR</w:t>
            </w:r>
            <w:r w:rsidR="009B370B">
              <w:rPr>
                <w:rFonts w:ascii="Times New Roman" w:hAnsi="Times New Roman" w:cs="Times New Roman"/>
              </w:rPr>
              <w:t xml:space="preserve"> niezbędna jest</w:t>
            </w:r>
            <w:r w:rsidR="00A66B4C">
              <w:rPr>
                <w:rFonts w:ascii="Times New Roman" w:hAnsi="Times New Roman" w:cs="Times New Roman"/>
              </w:rPr>
              <w:t xml:space="preserve"> s</w:t>
            </w:r>
            <w:r w:rsidR="00A66B4C" w:rsidRPr="00C23179">
              <w:rPr>
                <w:rFonts w:ascii="Times New Roman" w:hAnsi="Times New Roman" w:cs="Times New Roman"/>
              </w:rPr>
              <w:t>kuteczna komunikacja</w:t>
            </w:r>
            <w:r w:rsidR="00A66B4C">
              <w:rPr>
                <w:rFonts w:ascii="Times New Roman" w:hAnsi="Times New Roman" w:cs="Times New Roman"/>
              </w:rPr>
              <w:t>. W</w:t>
            </w:r>
            <w:r w:rsidR="0020143D" w:rsidRPr="00C23179">
              <w:rPr>
                <w:rFonts w:ascii="Times New Roman" w:hAnsi="Times New Roman" w:cs="Times New Roman"/>
              </w:rPr>
              <w:t xml:space="preserve">ymaga </w:t>
            </w:r>
            <w:r w:rsidR="00A66B4C">
              <w:rPr>
                <w:rFonts w:ascii="Times New Roman" w:hAnsi="Times New Roman" w:cs="Times New Roman"/>
              </w:rPr>
              <w:t xml:space="preserve">ona jednak </w:t>
            </w:r>
            <w:r w:rsidR="0020143D" w:rsidRPr="00C23179">
              <w:rPr>
                <w:rFonts w:ascii="Times New Roman" w:hAnsi="Times New Roman" w:cs="Times New Roman"/>
              </w:rPr>
              <w:t>wymiany informacji. Z tego względu przewidziano nie tylko sposoby przekazywania informacji mieszkańcom obszaru LSR, ale zaplanowano również systematyczne pozyskiwanie od nich komunikatów zwrotnych. W tym kontekście należy podkreślić, że plan komunikacji jest powiązany z systemem monitoringu i ewaluacji działań LGD</w:t>
            </w:r>
            <w:r w:rsidR="0020143D">
              <w:rPr>
                <w:rFonts w:ascii="Times New Roman" w:hAnsi="Times New Roman" w:cs="Times New Roman"/>
              </w:rPr>
              <w:t xml:space="preserve"> oraz planem partycypacji zamieszczonym w rozdziale III LSR</w:t>
            </w:r>
            <w:r w:rsidR="0020143D" w:rsidRPr="00C23179">
              <w:rPr>
                <w:rFonts w:ascii="Times New Roman" w:hAnsi="Times New Roman" w:cs="Times New Roman"/>
              </w:rPr>
              <w:t xml:space="preserve">. Będzie to miało wpływ na zdolność </w:t>
            </w:r>
            <w:r w:rsidR="0020143D">
              <w:rPr>
                <w:rFonts w:ascii="Times New Roman" w:hAnsi="Times New Roman" w:cs="Times New Roman"/>
              </w:rPr>
              <w:t>S</w:t>
            </w:r>
            <w:r w:rsidR="0020143D" w:rsidRPr="00C23179">
              <w:rPr>
                <w:rFonts w:ascii="Times New Roman" w:hAnsi="Times New Roman" w:cs="Times New Roman"/>
              </w:rPr>
              <w:t xml:space="preserve">towarzyszenia do zarządzania procesem wdrażania LSR. </w:t>
            </w:r>
          </w:p>
          <w:p w:rsidR="0020143D" w:rsidRPr="00C23179" w:rsidRDefault="0020143D" w:rsidP="0020143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Zaplanowano liczne działania, które wesprzeć mają stosowane przez LGD sposoby wdrażania innowacji. Szczególne starania zostaną dołożone by poinformować potencjalnych beneficjentów o zawartej w LSR definicji innowacyjności. Wnioskodawcom udzielona zostanie pomoc w przygotowaniu propozycji operacji zawierających elementy innowacyjne</w:t>
            </w:r>
            <w:r>
              <w:rPr>
                <w:rFonts w:ascii="Times New Roman" w:hAnsi="Times New Roman" w:cs="Times New Roman"/>
              </w:rPr>
              <w:t xml:space="preserve"> w ramach przewidzianych przedsięwzięć</w:t>
            </w:r>
            <w:r w:rsidRPr="00C23179">
              <w:rPr>
                <w:rFonts w:ascii="Times New Roman" w:hAnsi="Times New Roman" w:cs="Times New Roman"/>
              </w:rPr>
              <w:t xml:space="preserve">. </w:t>
            </w:r>
          </w:p>
          <w:p w:rsidR="0020143D" w:rsidRPr="00C23179" w:rsidRDefault="0020143D" w:rsidP="0020143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918CB">
              <w:rPr>
                <w:rFonts w:ascii="Times New Roman" w:hAnsi="Times New Roman" w:cs="Times New Roman"/>
              </w:rPr>
              <w:t>Komunikowanie się będzie istotnym aspektem procesu wzmacniania partnerstwa na obszarze LSR. Działania w tym zakresie będą kierowane do członków Stowarzyszenia oraz do ogółu społeczności. Zaplanowano również działania, które mają ułatwić realizację operacji w partnerstwie</w:t>
            </w:r>
            <w:r>
              <w:rPr>
                <w:rFonts w:ascii="Times New Roman" w:hAnsi="Times New Roman" w:cs="Times New Roman"/>
              </w:rPr>
              <w:t xml:space="preserve"> oraz projektów partnerskich,</w:t>
            </w:r>
            <w:r w:rsidRPr="009918CB">
              <w:rPr>
                <w:rFonts w:ascii="Times New Roman" w:hAnsi="Times New Roman" w:cs="Times New Roman"/>
              </w:rPr>
              <w:t xml:space="preserve"> co powinno się przyczynić do zwiększenia wartości dodanej LSR.</w:t>
            </w:r>
          </w:p>
          <w:p w:rsidR="0020143D" w:rsidRPr="00C23179" w:rsidRDefault="0020143D" w:rsidP="0020143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>Dobór środków przekazu dla poszczególnych grup docelowych poparty został wynikami badań ewaluacyjnych podsumowujących realizację LSR w okresie programowania UE 2014-2020</w:t>
            </w:r>
            <w:r>
              <w:rPr>
                <w:rFonts w:ascii="Times New Roman" w:hAnsi="Times New Roman" w:cs="Times New Roman"/>
              </w:rPr>
              <w:t xml:space="preserve"> oraz na podstawie uwag w tym zakresie, zgłaszanych podczas spotkań konsultacyjnych odbywających się w każdej gminie wchodzącej w skład obszaru objętego wdrażaniem LSR</w:t>
            </w:r>
            <w:r w:rsidRPr="00C23179">
              <w:rPr>
                <w:rFonts w:ascii="Times New Roman" w:hAnsi="Times New Roman" w:cs="Times New Roman"/>
              </w:rPr>
              <w:t xml:space="preserve">. To szczególnie istotne w przypadku osób w niekorzystnej sytuacji. Zaplanowano działania kierowane bezpośrednio do </w:t>
            </w:r>
            <w:r>
              <w:rPr>
                <w:rFonts w:ascii="Times New Roman" w:hAnsi="Times New Roman" w:cs="Times New Roman"/>
              </w:rPr>
              <w:t>grup w niekorzystnej sytuacji</w:t>
            </w:r>
            <w:r w:rsidRPr="00C23179">
              <w:rPr>
                <w:rFonts w:ascii="Times New Roman" w:hAnsi="Times New Roman" w:cs="Times New Roman"/>
              </w:rPr>
              <w:t xml:space="preserve">, osób młodych i osób w wieku senioralnym. </w:t>
            </w:r>
          </w:p>
          <w:p w:rsidR="0020143D" w:rsidRDefault="0020143D" w:rsidP="0020143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23179">
              <w:rPr>
                <w:rFonts w:ascii="Times New Roman" w:hAnsi="Times New Roman" w:cs="Times New Roman"/>
              </w:rPr>
              <w:t xml:space="preserve">Przesłanką leżącą u podstaw planu komunikacji jest również dążenie do maksymalizacji efektów realizacji LSR. Wiąże się to z działaniem na rzecz aktywizacji społeczności, upowszechniania postaw przedsiębiorczych, umożliwiania partycypacji </w:t>
            </w:r>
            <w:r>
              <w:rPr>
                <w:rFonts w:ascii="Times New Roman" w:hAnsi="Times New Roman" w:cs="Times New Roman"/>
              </w:rPr>
              <w:t>społecznej</w:t>
            </w:r>
            <w:r w:rsidRPr="00C23179">
              <w:rPr>
                <w:rFonts w:ascii="Times New Roman" w:hAnsi="Times New Roman" w:cs="Times New Roman"/>
              </w:rPr>
              <w:t xml:space="preserve"> w procesie zarządzania wdrażaniem LSR, dążeniu do realizacji operacji partnerskich</w:t>
            </w:r>
            <w:r>
              <w:rPr>
                <w:rFonts w:ascii="Times New Roman" w:hAnsi="Times New Roman" w:cs="Times New Roman"/>
              </w:rPr>
              <w:t xml:space="preserve">, w </w:t>
            </w:r>
            <w:r w:rsidR="00394E0C">
              <w:rPr>
                <w:rFonts w:ascii="Times New Roman" w:hAnsi="Times New Roman" w:cs="Times New Roman"/>
              </w:rPr>
              <w:t>partnerstwie</w:t>
            </w:r>
            <w:r w:rsidRPr="00C23179">
              <w:rPr>
                <w:rFonts w:ascii="Times New Roman" w:hAnsi="Times New Roman" w:cs="Times New Roman"/>
              </w:rPr>
              <w:t xml:space="preserve"> i innowacyjnych</w:t>
            </w:r>
            <w:r>
              <w:rPr>
                <w:rFonts w:ascii="Times New Roman" w:hAnsi="Times New Roman" w:cs="Times New Roman"/>
              </w:rPr>
              <w:t>, a także umacniania postaw obywatelskich i zwiększenie poziomu kapitału ludzkiego i społecznego.</w:t>
            </w:r>
            <w:r w:rsidRPr="00C23179">
              <w:rPr>
                <w:rFonts w:ascii="Times New Roman" w:hAnsi="Times New Roman" w:cs="Times New Roman"/>
              </w:rPr>
              <w:t xml:space="preserve"> Zaplanowano działania komunikacyjne </w:t>
            </w:r>
            <w:r>
              <w:rPr>
                <w:rFonts w:ascii="Times New Roman" w:hAnsi="Times New Roman" w:cs="Times New Roman"/>
              </w:rPr>
              <w:t>w ten sposób, aby zrealizować wszystkie z wymienionych założeń</w:t>
            </w:r>
            <w:r w:rsidRPr="00C23179">
              <w:rPr>
                <w:rFonts w:ascii="Times New Roman" w:hAnsi="Times New Roman" w:cs="Times New Roman"/>
              </w:rPr>
              <w:t xml:space="preserve">. Dodatkowo w planie komunikacji przewidziano sposoby informowania społeczności lokalnej o efektach realizacji LSR. </w:t>
            </w:r>
          </w:p>
          <w:p w:rsidR="00157D68" w:rsidRDefault="0020143D" w:rsidP="00394E0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F3399">
              <w:rPr>
                <w:rFonts w:ascii="Times New Roman" w:hAnsi="Times New Roman" w:cs="Times New Roman"/>
              </w:rPr>
              <w:t>Plan komunikacji uwzględnia realizację obowiązków komunikacyjnych beneficjentów EFSI wynikających z art. 50 ust. 1 rozporządzenia UE 2021/1060 oraz zasad komunikacji, zgodnie z informacjami przekazanymi LGD przez I</w:t>
            </w:r>
            <w:r>
              <w:rPr>
                <w:rFonts w:ascii="Times New Roman" w:hAnsi="Times New Roman" w:cs="Times New Roman"/>
              </w:rPr>
              <w:t xml:space="preserve">nstytucję </w:t>
            </w:r>
            <w:r w:rsidRPr="00CF339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arządzającą</w:t>
            </w:r>
            <w:r w:rsidRPr="00CF3399">
              <w:rPr>
                <w:rFonts w:ascii="Times New Roman" w:hAnsi="Times New Roman" w:cs="Times New Roman"/>
              </w:rPr>
              <w:t xml:space="preserve"> oraz księgą wizualizacji w zakresie PS WPR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90054" w:rsidRPr="00590054" w:rsidRDefault="00590054" w:rsidP="00394E0C">
            <w:pPr>
              <w:spacing w:before="120" w:after="120"/>
              <w:jc w:val="both"/>
              <w:rPr>
                <w:b/>
              </w:rPr>
            </w:pPr>
            <w:r w:rsidRPr="00590054">
              <w:rPr>
                <w:b/>
              </w:rPr>
              <w:t xml:space="preserve">Główne cele: </w:t>
            </w:r>
          </w:p>
          <w:p w:rsidR="00590054" w:rsidRPr="00590054" w:rsidRDefault="00590054" w:rsidP="00394E0C">
            <w:pPr>
              <w:spacing w:before="120" w:after="120"/>
              <w:jc w:val="both"/>
              <w:rPr>
                <w:b/>
              </w:rPr>
            </w:pPr>
            <w:r w:rsidRPr="00590054">
              <w:rPr>
                <w:b/>
              </w:rPr>
              <w:t xml:space="preserve">Cel 1. Bieżące informowanie potencjalnych wnioskodawców o zasadach i kryteriach udzielenia wsparcia oraz o stanie realizacji LSR. </w:t>
            </w:r>
          </w:p>
          <w:p w:rsidR="00590054" w:rsidRPr="00590054" w:rsidRDefault="00590054" w:rsidP="00394E0C">
            <w:pPr>
              <w:spacing w:before="120" w:after="120"/>
              <w:jc w:val="both"/>
              <w:rPr>
                <w:b/>
              </w:rPr>
            </w:pPr>
            <w:r w:rsidRPr="00590054">
              <w:rPr>
                <w:b/>
              </w:rPr>
              <w:t xml:space="preserve">Cel 2. Wspieranie projektodawców i beneficjentów na każdym etapie realizacji operacji oraz zwiększenie zaangażowania mieszkańców w działalność LGD. </w:t>
            </w:r>
          </w:p>
          <w:p w:rsidR="00590054" w:rsidRDefault="00590054" w:rsidP="00394E0C">
            <w:pPr>
              <w:spacing w:before="120" w:after="120"/>
              <w:jc w:val="both"/>
              <w:rPr>
                <w:b/>
              </w:rPr>
            </w:pPr>
            <w:r w:rsidRPr="00590054">
              <w:rPr>
                <w:b/>
              </w:rPr>
              <w:t>Cel 3. Promocja dobrych praktyk osiągniętych dzięki wdrażaniu LSR - uzyskanie informacji zwrotnej na temat oceny jakości pomocy świadczonej przez LGD pod kątem konieczności przeprowadzenia ewentualnych korekt w tym zakresie</w:t>
            </w:r>
            <w:r w:rsidR="004F38A1">
              <w:rPr>
                <w:b/>
              </w:rPr>
              <w:t>.</w:t>
            </w:r>
          </w:p>
          <w:p w:rsidR="004F38A1" w:rsidRPr="00590054" w:rsidRDefault="004F38A1" w:rsidP="00394E0C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157D68" w:rsidRPr="00394E0C" w:rsidRDefault="00394E0C" w:rsidP="00157D68">
            <w:pPr>
              <w:spacing w:before="120" w:after="120"/>
              <w:jc w:val="both"/>
              <w:rPr>
                <w:rFonts w:ascii="Arial" w:eastAsia="Arial,Bold" w:hAnsi="Arial" w:cs="Arial"/>
                <w:b/>
                <w:color w:val="000000"/>
              </w:rPr>
            </w:pPr>
            <w:r w:rsidRPr="00394E0C">
              <w:rPr>
                <w:rFonts w:ascii="Arial" w:eastAsia="Arial,Bold" w:hAnsi="Arial" w:cs="Arial"/>
                <w:b/>
                <w:color w:val="000000"/>
              </w:rPr>
              <w:t>Działania komunikacyjne:</w:t>
            </w:r>
          </w:p>
          <w:p w:rsidR="00394E0C" w:rsidRDefault="00394E0C" w:rsidP="00394E0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394E0C">
              <w:rPr>
                <w:rFonts w:ascii="Arial" w:hAnsi="Arial" w:cs="Arial"/>
                <w:b/>
                <w:bCs/>
              </w:rPr>
              <w:lastRenderedPageBreak/>
              <w:t>P</w:t>
            </w:r>
            <w:r w:rsidR="00157D68" w:rsidRPr="00394E0C">
              <w:rPr>
                <w:rFonts w:ascii="Arial" w:hAnsi="Arial" w:cs="Arial"/>
                <w:b/>
                <w:bCs/>
              </w:rPr>
              <w:t xml:space="preserve">artycypacyjny oraz </w:t>
            </w:r>
            <w:proofErr w:type="spellStart"/>
            <w:r w:rsidR="00157D68" w:rsidRPr="00394E0C">
              <w:rPr>
                <w:rFonts w:ascii="Arial" w:hAnsi="Arial" w:cs="Arial"/>
                <w:b/>
                <w:bCs/>
              </w:rPr>
              <w:t>inkluzywny</w:t>
            </w:r>
            <w:proofErr w:type="spellEnd"/>
            <w:r w:rsidR="00157D68" w:rsidRPr="00394E0C">
              <w:rPr>
                <w:rFonts w:ascii="Arial" w:hAnsi="Arial" w:cs="Arial"/>
                <w:b/>
                <w:bCs/>
              </w:rPr>
              <w:t xml:space="preserve"> charakter wdrażania LSR</w:t>
            </w:r>
          </w:p>
          <w:p w:rsidR="00147866" w:rsidRPr="00147866" w:rsidRDefault="00147866" w:rsidP="00147866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Arial,Bold" w:hAnsi="Arial" w:cs="Arial"/>
                <w:b/>
                <w:bCs/>
                <w:color w:val="000000"/>
              </w:rPr>
            </w:pPr>
            <w:r w:rsidRPr="00394E0C">
              <w:rPr>
                <w:rFonts w:ascii="Arial" w:hAnsi="Arial" w:cs="Arial"/>
                <w:b/>
                <w:bCs/>
              </w:rPr>
              <w:t>Kompleksowa obsługa projektów</w:t>
            </w:r>
          </w:p>
          <w:p w:rsidR="00157D68" w:rsidRDefault="00394E0C" w:rsidP="00394E0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394E0C">
              <w:rPr>
                <w:rFonts w:ascii="Arial" w:hAnsi="Arial" w:cs="Arial"/>
                <w:b/>
                <w:bCs/>
              </w:rPr>
              <w:t>W</w:t>
            </w:r>
            <w:r w:rsidR="00157D68" w:rsidRPr="00394E0C">
              <w:rPr>
                <w:rFonts w:ascii="Arial" w:hAnsi="Arial" w:cs="Arial"/>
                <w:b/>
                <w:bCs/>
              </w:rPr>
              <w:t>sparcie grup w niekorzystnej sytuacji</w:t>
            </w:r>
          </w:p>
          <w:p w:rsidR="00A224EB" w:rsidRPr="00A224EB" w:rsidRDefault="00A224EB" w:rsidP="00A224EB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394E0C">
              <w:rPr>
                <w:rFonts w:ascii="Arial" w:hAnsi="Arial" w:cs="Arial"/>
                <w:b/>
                <w:bCs/>
              </w:rPr>
              <w:t>Wzmacnianie partnerstwa i współpracy</w:t>
            </w:r>
          </w:p>
        </w:tc>
      </w:tr>
      <w:tr w:rsidR="009C4DE5" w:rsidRPr="006B3865" w:rsidTr="00CA26D1">
        <w:trPr>
          <w:trHeight w:val="809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9C4DE5" w:rsidRPr="006B3865" w:rsidRDefault="00B4165E" w:rsidP="00FB2980">
            <w:pPr>
              <w:pStyle w:val="Default"/>
              <w:rPr>
                <w:sz w:val="22"/>
                <w:szCs w:val="22"/>
              </w:rPr>
            </w:pPr>
            <w:r w:rsidRPr="006B3865">
              <w:rPr>
                <w:sz w:val="22"/>
                <w:szCs w:val="22"/>
              </w:rPr>
              <w:lastRenderedPageBreak/>
              <w:t xml:space="preserve">Opis </w:t>
            </w:r>
            <w:r w:rsidRPr="006B3865">
              <w:rPr>
                <w:b/>
                <w:sz w:val="22"/>
                <w:szCs w:val="22"/>
              </w:rPr>
              <w:t>działań komunikacyjnych</w:t>
            </w:r>
            <w:r w:rsidRPr="006B3865">
              <w:rPr>
                <w:sz w:val="22"/>
                <w:szCs w:val="22"/>
              </w:rPr>
              <w:t xml:space="preserve"> i </w:t>
            </w:r>
            <w:r w:rsidRPr="006B3865">
              <w:rPr>
                <w:b/>
                <w:sz w:val="22"/>
                <w:szCs w:val="22"/>
              </w:rPr>
              <w:t>grup docelowych</w:t>
            </w:r>
            <w:r w:rsidRPr="006B3865">
              <w:rPr>
                <w:sz w:val="22"/>
                <w:szCs w:val="22"/>
              </w:rPr>
              <w:t xml:space="preserve"> oraz </w:t>
            </w:r>
            <w:r w:rsidRPr="006B3865">
              <w:rPr>
                <w:b/>
                <w:sz w:val="22"/>
                <w:szCs w:val="22"/>
              </w:rPr>
              <w:t>środków przekazu</w:t>
            </w:r>
            <w:r w:rsidRPr="006B3865">
              <w:rPr>
                <w:sz w:val="22"/>
                <w:szCs w:val="22"/>
              </w:rPr>
              <w:t xml:space="preserve">, w tym </w:t>
            </w:r>
            <w:r w:rsidRPr="006B3865">
              <w:rPr>
                <w:b/>
                <w:sz w:val="22"/>
                <w:szCs w:val="22"/>
              </w:rPr>
              <w:t>działań podejmowanych w przypadku problemów z realizacją LSR</w:t>
            </w:r>
            <w:r w:rsidRPr="006B3865">
              <w:rPr>
                <w:sz w:val="22"/>
                <w:szCs w:val="22"/>
              </w:rPr>
              <w:t>, niskim poparciu społecznym dla działań realizowanych przez LGD itd.</w:t>
            </w:r>
            <w:r w:rsidR="00FB2980" w:rsidRPr="006B3865">
              <w:rPr>
                <w:sz w:val="22"/>
                <w:szCs w:val="22"/>
              </w:rPr>
              <w:t xml:space="preserve"> </w:t>
            </w:r>
          </w:p>
        </w:tc>
      </w:tr>
      <w:tr w:rsidR="009C4DE5" w:rsidRPr="006B3865" w:rsidTr="00CA26D1">
        <w:trPr>
          <w:trHeight w:val="835"/>
        </w:trPr>
        <w:tc>
          <w:tcPr>
            <w:tcW w:w="5000" w:type="pct"/>
            <w:shd w:val="clear" w:color="auto" w:fill="auto"/>
            <w:vAlign w:val="center"/>
          </w:tcPr>
          <w:p w:rsidR="0020143D" w:rsidRPr="00A62BC4" w:rsidRDefault="0020143D" w:rsidP="0020143D">
            <w:pPr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Najważniejszym elementem planu komunikacyjnego jest zamieszczona w nim tabela nr 1. Tabela została skonstruowana w ten sposób, aby w sposób przejrzysty i zrozumiały prezentować najważniejsze informacje dotyczące: </w:t>
            </w:r>
          </w:p>
          <w:p w:rsidR="0020143D" w:rsidRPr="00A62BC4" w:rsidRDefault="0020143D" w:rsidP="0020143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planowanych do podjęcia działaniach komunikacyjnych;</w:t>
            </w:r>
          </w:p>
          <w:p w:rsidR="0020143D" w:rsidRPr="00A62BC4" w:rsidRDefault="0020143D" w:rsidP="0020143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grup docelowych wraz ze stosowanymi środkami przekazu, które będą wykorzystywane;</w:t>
            </w:r>
          </w:p>
          <w:p w:rsidR="0020143D" w:rsidRPr="00A62BC4" w:rsidRDefault="0020143D" w:rsidP="0020143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opis zakładanych wskaźników realizacji działań komunikacyjnych (wraz z jednostką miary) oraz efektów działań komunikacyjnych (wraz z jednostką miary);</w:t>
            </w:r>
          </w:p>
          <w:p w:rsidR="0020143D" w:rsidRPr="00A62BC4" w:rsidRDefault="0020143D" w:rsidP="0020143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zakładany budżet na realizację poszczególnych działań komunikacyjnych.</w:t>
            </w:r>
          </w:p>
          <w:p w:rsidR="009C4DE5" w:rsidRPr="00A62BC4" w:rsidRDefault="0020143D" w:rsidP="0020143D">
            <w:pPr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Przyjęcie takiego rozwiązania ma na celu ułatwienie wszystkim osobom zainteresowanym dotarcie oraz zapoznanie się z tym dokumentem. Jest to wprost realizacja jednego z fundamentalnych założeń wdrażania LSR i zarządzania organizacją jakim jest maksymalizacja </w:t>
            </w:r>
            <w:proofErr w:type="spellStart"/>
            <w:r w:rsidRPr="00A62BC4">
              <w:rPr>
                <w:rFonts w:ascii="Times New Roman" w:hAnsi="Times New Roman" w:cs="Times New Roman"/>
              </w:rPr>
              <w:t>inkluzywnej</w:t>
            </w:r>
            <w:proofErr w:type="spellEnd"/>
            <w:r w:rsidRPr="00A62BC4">
              <w:rPr>
                <w:rFonts w:ascii="Times New Roman" w:hAnsi="Times New Roman" w:cs="Times New Roman"/>
              </w:rPr>
              <w:t xml:space="preserve"> formuły działania.</w:t>
            </w:r>
          </w:p>
          <w:p w:rsidR="00394DBE" w:rsidRPr="00A62BC4" w:rsidRDefault="0020143D" w:rsidP="0020143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W planie komunikacji uwzględniono działania prewencyjne, które mają minimalizować ryzyko niedostatecznego zaangażowania społeczności w realizację LSR i braku jej poparcia dla tego procesu. Chodzi tu nie tylko o informowanie mieszkańców obszaru o podejmowanych działaniach, ale również o włączenie ich w zarządzanie wdrażaniem LSR poprzez proces ewaluacji i możliwość zgłaszania pomysłów na nowe działania. </w:t>
            </w:r>
          </w:p>
          <w:p w:rsidR="00394DBE" w:rsidRPr="00A62BC4" w:rsidRDefault="00394DBE" w:rsidP="0020143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Sposoby dotarcia do grup docelowych komunikacji (w tym osób w niekorzystnej sytuacji) zostały wypracowane na bazie dotychczasowych doświadczeń oraz wniosków z konsultacji społecznych związanych z opracowaniem LSR. Za najefektywniejsze uznano następujące narzędzia (środki przekazu): Internet (strona LGD, strony JST, inne strony internetowe, portale </w:t>
            </w:r>
            <w:proofErr w:type="spellStart"/>
            <w:r w:rsidRPr="00A62BC4">
              <w:rPr>
                <w:rFonts w:ascii="Times New Roman" w:hAnsi="Times New Roman" w:cs="Times New Roman"/>
              </w:rPr>
              <w:t>społecznościowe</w:t>
            </w:r>
            <w:proofErr w:type="spellEnd"/>
            <w:r w:rsidRPr="00A62BC4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A62BC4">
              <w:rPr>
                <w:rFonts w:ascii="Times New Roman" w:hAnsi="Times New Roman" w:cs="Times New Roman"/>
              </w:rPr>
              <w:t>newsletter</w:t>
            </w:r>
            <w:proofErr w:type="spellEnd"/>
            <w:r w:rsidRPr="00A62BC4">
              <w:rPr>
                <w:rFonts w:ascii="Times New Roman" w:hAnsi="Times New Roman" w:cs="Times New Roman"/>
              </w:rPr>
              <w:t xml:space="preserve">), materiały informacyjne, informacje przekazywane przez lokalnych liderów, promocja w środkach masowego przekazu, w tym w mediach lokalnych, mailing i </w:t>
            </w:r>
            <w:proofErr w:type="spellStart"/>
            <w:r w:rsidRPr="00A62BC4">
              <w:rPr>
                <w:rFonts w:ascii="Times New Roman" w:hAnsi="Times New Roman" w:cs="Times New Roman"/>
              </w:rPr>
              <w:t>newslettery</w:t>
            </w:r>
            <w:proofErr w:type="spellEnd"/>
            <w:r w:rsidRPr="00A62BC4">
              <w:rPr>
                <w:rFonts w:ascii="Times New Roman" w:hAnsi="Times New Roman" w:cs="Times New Roman"/>
              </w:rPr>
              <w:t xml:space="preserve">, ankiety </w:t>
            </w:r>
            <w:proofErr w:type="spellStart"/>
            <w:r w:rsidRPr="00A62BC4">
              <w:rPr>
                <w:rFonts w:ascii="Times New Roman" w:hAnsi="Times New Roman" w:cs="Times New Roman"/>
              </w:rPr>
              <w:t>online</w:t>
            </w:r>
            <w:proofErr w:type="spellEnd"/>
            <w:r w:rsidRPr="00A62BC4">
              <w:rPr>
                <w:rFonts w:ascii="Times New Roman" w:hAnsi="Times New Roman" w:cs="Times New Roman"/>
              </w:rPr>
              <w:t xml:space="preserve">, powiadamianie </w:t>
            </w:r>
            <w:proofErr w:type="spellStart"/>
            <w:r w:rsidRPr="00A62BC4">
              <w:rPr>
                <w:rFonts w:ascii="Times New Roman" w:hAnsi="Times New Roman" w:cs="Times New Roman"/>
              </w:rPr>
              <w:t>sms</w:t>
            </w:r>
            <w:proofErr w:type="spellEnd"/>
            <w:r w:rsidRPr="00A62BC4">
              <w:rPr>
                <w:rFonts w:ascii="Times New Roman" w:hAnsi="Times New Roman" w:cs="Times New Roman"/>
              </w:rPr>
              <w:t>, filmiki instruktażowe, spotkania bezpośrednie, prezentacje multimedialne, ankiety, warsztaty t</w:t>
            </w:r>
            <w:r w:rsidR="005C468F" w:rsidRPr="00A62BC4">
              <w:rPr>
                <w:rFonts w:ascii="Times New Roman" w:hAnsi="Times New Roman" w:cs="Times New Roman"/>
              </w:rPr>
              <w:t>ematyczne, porady indywidualne,</w:t>
            </w:r>
            <w:r w:rsidRPr="00A62BC4">
              <w:rPr>
                <w:rFonts w:ascii="Times New Roman" w:hAnsi="Times New Roman" w:cs="Times New Roman"/>
              </w:rPr>
              <w:t xml:space="preserve"> szkolenia, imprezy, konkursy tematyczne, inwentaryzacje dotyczące obszaru, badania, analizy, raporty, certyfikacja, konferencje.</w:t>
            </w:r>
          </w:p>
          <w:p w:rsidR="0020143D" w:rsidRPr="00A62BC4" w:rsidRDefault="0020143D" w:rsidP="00626A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W przypadku wystąpienia problemów w realizacji LSR możliwe będzie skorygowanie podejmowanych działań. Szczególną rolę będą tu odgrywać coroczne spotkania refleksyjne w czasie których przedstawiciele społeczności będą mogli formułować rekomendacje odnośnie do zmian. Organem LGD odpowiedzialnym za ich wdrożenie jest Zarząd. </w:t>
            </w:r>
            <w:r w:rsidR="00626A77" w:rsidRPr="00A62BC4">
              <w:rPr>
                <w:rFonts w:ascii="Times New Roman" w:hAnsi="Times New Roman" w:cs="Times New Roman"/>
              </w:rPr>
              <w:t>To Zarząd</w:t>
            </w:r>
            <w:r w:rsidRPr="00A62BC4">
              <w:rPr>
                <w:rFonts w:ascii="Times New Roman" w:hAnsi="Times New Roman" w:cs="Times New Roman"/>
              </w:rPr>
              <w:t xml:space="preserve"> </w:t>
            </w:r>
            <w:r w:rsidR="00626A77" w:rsidRPr="00A62BC4">
              <w:rPr>
                <w:rFonts w:ascii="Times New Roman" w:hAnsi="Times New Roman" w:cs="Times New Roman"/>
              </w:rPr>
              <w:t xml:space="preserve">podejmuje decyzję </w:t>
            </w:r>
            <w:r w:rsidRPr="00A62BC4">
              <w:rPr>
                <w:rFonts w:ascii="Times New Roman" w:hAnsi="Times New Roman" w:cs="Times New Roman"/>
              </w:rPr>
              <w:t>o korygowa</w:t>
            </w:r>
            <w:r w:rsidR="00626A77" w:rsidRPr="00A62BC4">
              <w:rPr>
                <w:rFonts w:ascii="Times New Roman" w:hAnsi="Times New Roman" w:cs="Times New Roman"/>
              </w:rPr>
              <w:t>niu planu komunikacji</w:t>
            </w:r>
            <w:r w:rsidRPr="00A62BC4">
              <w:rPr>
                <w:rFonts w:ascii="Times New Roman" w:hAnsi="Times New Roman" w:cs="Times New Roman"/>
              </w:rPr>
              <w:t xml:space="preserve">. Decyzja </w:t>
            </w:r>
            <w:r w:rsidR="00626A77" w:rsidRPr="00A62BC4">
              <w:rPr>
                <w:rFonts w:ascii="Times New Roman" w:hAnsi="Times New Roman" w:cs="Times New Roman"/>
              </w:rPr>
              <w:t xml:space="preserve">ta </w:t>
            </w:r>
            <w:r w:rsidRPr="00A62BC4">
              <w:rPr>
                <w:rFonts w:ascii="Times New Roman" w:hAnsi="Times New Roman" w:cs="Times New Roman"/>
              </w:rPr>
              <w:t>musi być poprzedzona konsultacjami społecznymi, które obejmą co najmniej wysłanie do członków LGD informacji o proponowanych zmianach oraz umieszczenie informacji na ich temat na stronie internetowej.</w:t>
            </w:r>
            <w:r w:rsidR="00DF1B7B" w:rsidRPr="00A62BC4">
              <w:rPr>
                <w:rFonts w:ascii="Times New Roman" w:hAnsi="Times New Roman" w:cs="Times New Roman"/>
              </w:rPr>
              <w:t xml:space="preserve"> Dzięki prowadzeniu stałej analizy efektywności działań komunikacyjnych LGD posiadać będzie wiedzę jakiego rodzaju działania były prowadzone i czy osiągnięto planowane efekty. Analizie efektywności podlegać będzie również wykonanie budżetu.</w:t>
            </w:r>
          </w:p>
          <w:p w:rsidR="00157D68" w:rsidRPr="00A62BC4" w:rsidRDefault="00157D68" w:rsidP="00157D6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DF1B7B" w:rsidRPr="00A62BC4" w:rsidRDefault="00AB4473" w:rsidP="00DF1B7B">
            <w:pPr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Działania komunikacyjne:</w:t>
            </w:r>
          </w:p>
          <w:p w:rsidR="00DF1B7B" w:rsidRPr="00A62BC4" w:rsidRDefault="00C720AF" w:rsidP="00DF1B7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P</w:t>
            </w:r>
            <w:r w:rsidR="00DF1B7B" w:rsidRPr="00A62BC4">
              <w:rPr>
                <w:rFonts w:ascii="Times New Roman" w:hAnsi="Times New Roman" w:cs="Times New Roman"/>
                <w:b/>
                <w:bCs/>
              </w:rPr>
              <w:t xml:space="preserve">artycypacyjny oraz </w:t>
            </w:r>
            <w:proofErr w:type="spellStart"/>
            <w:r w:rsidR="00DF1B7B" w:rsidRPr="00A62BC4">
              <w:rPr>
                <w:rFonts w:ascii="Times New Roman" w:hAnsi="Times New Roman" w:cs="Times New Roman"/>
                <w:b/>
                <w:bCs/>
              </w:rPr>
              <w:t>inkluzywny</w:t>
            </w:r>
            <w:proofErr w:type="spellEnd"/>
            <w:r w:rsidR="00DF1B7B" w:rsidRPr="00A62BC4">
              <w:rPr>
                <w:rFonts w:ascii="Times New Roman" w:hAnsi="Times New Roman" w:cs="Times New Roman"/>
                <w:b/>
                <w:bCs/>
              </w:rPr>
              <w:t xml:space="preserve"> charakter wdrażania LSR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W działaniu tym chodzi zarówno o informowanie mieszkańców obszaru o podejmowanych działaniach, jak również o włączenie ich w zarządzanie wdrażaniem LSR </w:t>
            </w:r>
            <w:r w:rsidRPr="00A62BC4">
              <w:rPr>
                <w:rFonts w:ascii="Times New Roman" w:hAnsi="Times New Roman" w:cs="Times New Roman"/>
              </w:rPr>
              <w:lastRenderedPageBreak/>
              <w:t>poprzez proces ewaluacji i możliwość zgłaszania pomysłów na nowe działania. Szczególną rolę będą tu odgrywać coroczne spotkania refleksyjne w czasie których przedstawiciele społeczności będą mogli formułowanie rekomendacje odnośnie do zmian. Organem LGD odpowiedzialnym za ich wdrożenie jest Zarząd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Grupy docelowe: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Mieszkańcy, przedsiębiorcy, </w:t>
            </w:r>
            <w:proofErr w:type="spellStart"/>
            <w:r w:rsidRPr="00A62BC4">
              <w:rPr>
                <w:rFonts w:ascii="Times New Roman" w:hAnsi="Times New Roman" w:cs="Times New Roman"/>
              </w:rPr>
              <w:t>jst</w:t>
            </w:r>
            <w:proofErr w:type="spellEnd"/>
            <w:r w:rsidRPr="00A62BC4">
              <w:rPr>
                <w:rFonts w:ascii="Times New Roman" w:hAnsi="Times New Roman" w:cs="Times New Roman"/>
              </w:rPr>
              <w:t>, organizacje społeczne formalne i nieformalne, rolnicy, przedstawiciele grup w niekorzystnej sytuacji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Środek przekazu: warsztaty refleksyjne, ankiety, fiszki, </w:t>
            </w:r>
            <w:proofErr w:type="spellStart"/>
            <w:r w:rsidRPr="00A62BC4">
              <w:rPr>
                <w:rFonts w:ascii="Times New Roman" w:hAnsi="Times New Roman" w:cs="Times New Roman"/>
              </w:rPr>
              <w:t>moniotoring</w:t>
            </w:r>
            <w:proofErr w:type="spellEnd"/>
            <w:r w:rsidRPr="00A62BC4">
              <w:rPr>
                <w:rFonts w:ascii="Times New Roman" w:hAnsi="Times New Roman" w:cs="Times New Roman"/>
              </w:rPr>
              <w:t>, ewaluacja, wspólna realizacja projektów, konsultacje społeczne, coroczny raport z monitoringu i postępów we wdrażaniu LSR wraz z konsultacją społeczną.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F1B7B" w:rsidRPr="00A62BC4" w:rsidRDefault="00C720AF" w:rsidP="00DF1B7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K</w:t>
            </w:r>
            <w:r w:rsidR="00DF1B7B" w:rsidRPr="00A62BC4">
              <w:rPr>
                <w:rFonts w:ascii="Times New Roman" w:hAnsi="Times New Roman" w:cs="Times New Roman"/>
                <w:b/>
                <w:bCs/>
              </w:rPr>
              <w:t xml:space="preserve">ompleksowa obsługa projektów 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W działaniu tym chodzi głównie o dotarcie do jak największej liczby mieszkańców Śliwkowego Szlaku z informacją o możliwości </w:t>
            </w:r>
            <w:r w:rsidR="000163F1" w:rsidRPr="00A62BC4">
              <w:rPr>
                <w:rFonts w:ascii="Times New Roman" w:hAnsi="Times New Roman" w:cs="Times New Roman"/>
              </w:rPr>
              <w:t>aplikowania o środki finansowe. Szczególną rolę będą tu odgrywać</w:t>
            </w:r>
            <w:r w:rsidRPr="00A62BC4">
              <w:rPr>
                <w:rFonts w:ascii="Times New Roman" w:hAnsi="Times New Roman" w:cs="Times New Roman"/>
              </w:rPr>
              <w:t xml:space="preserve"> </w:t>
            </w:r>
            <w:r w:rsidR="000163F1" w:rsidRPr="00A62BC4">
              <w:rPr>
                <w:rFonts w:ascii="Times New Roman" w:hAnsi="Times New Roman" w:cs="Times New Roman"/>
              </w:rPr>
              <w:t>szkolenia jak i świadczone doradztwo.</w:t>
            </w:r>
            <w:r w:rsidRPr="00A62BC4">
              <w:rPr>
                <w:rFonts w:ascii="Times New Roman" w:hAnsi="Times New Roman" w:cs="Times New Roman"/>
              </w:rPr>
              <w:t xml:space="preserve"> Szczególne starania zostaną dołożone by poinformować potencjalnych beneficjentów o zawartej w LSR definicji innowacyjności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Grupy docelowe:</w:t>
            </w:r>
          </w:p>
          <w:p w:rsidR="00DF1B7B" w:rsidRPr="00A62BC4" w:rsidRDefault="00DF1B7B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Mieszkańcy, przedsiębiorcy, </w:t>
            </w:r>
            <w:proofErr w:type="spellStart"/>
            <w:r w:rsidRPr="00A62BC4">
              <w:rPr>
                <w:rFonts w:ascii="Times New Roman" w:hAnsi="Times New Roman" w:cs="Times New Roman"/>
              </w:rPr>
              <w:t>jst</w:t>
            </w:r>
            <w:proofErr w:type="spellEnd"/>
            <w:r w:rsidRPr="00A62BC4">
              <w:rPr>
                <w:rFonts w:ascii="Times New Roman" w:hAnsi="Times New Roman" w:cs="Times New Roman"/>
              </w:rPr>
              <w:t>, organizacje społeczne formalne i nieformalne, rolnicy</w:t>
            </w:r>
            <w:r w:rsidR="000163F1" w:rsidRPr="00A62BC4">
              <w:rPr>
                <w:rFonts w:ascii="Times New Roman" w:hAnsi="Times New Roman" w:cs="Times New Roman"/>
              </w:rPr>
              <w:t>, przedstawiciele grup w niekorzystnej sytuacji</w:t>
            </w:r>
          </w:p>
          <w:p w:rsidR="00DF1B7B" w:rsidRPr="00A62BC4" w:rsidRDefault="000163F1" w:rsidP="00DF1B7B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Środek przekazu: kampania promocyjna: </w:t>
            </w:r>
            <w:proofErr w:type="spellStart"/>
            <w:r w:rsidRPr="00A62BC4">
              <w:rPr>
                <w:rFonts w:ascii="Times New Roman" w:hAnsi="Times New Roman" w:cs="Times New Roman"/>
              </w:rPr>
              <w:t>Facebook</w:t>
            </w:r>
            <w:proofErr w:type="spellEnd"/>
            <w:r w:rsidR="00DF1B7B" w:rsidRPr="00A62BC4">
              <w:rPr>
                <w:rFonts w:ascii="Times New Roman" w:hAnsi="Times New Roman" w:cs="Times New Roman"/>
              </w:rPr>
              <w:t xml:space="preserve">, </w:t>
            </w:r>
            <w:r w:rsidRPr="00A62BC4">
              <w:rPr>
                <w:rFonts w:ascii="Times New Roman" w:hAnsi="Times New Roman" w:cs="Times New Roman"/>
              </w:rPr>
              <w:t>strona internetowa Stowarzyszenia, strony internetowe</w:t>
            </w:r>
            <w:r w:rsidR="00DF1B7B" w:rsidRPr="00A62BC4">
              <w:rPr>
                <w:rFonts w:ascii="Times New Roman" w:hAnsi="Times New Roman" w:cs="Times New Roman"/>
              </w:rPr>
              <w:t xml:space="preserve"> Gmin, ogłoszenia w prasie, ogłoszenia i plakaty, szkolenia, doradztwo, obsługa wnioskodawców, wysyłanie </w:t>
            </w:r>
            <w:proofErr w:type="spellStart"/>
            <w:r w:rsidR="00DF1B7B" w:rsidRPr="00A62BC4">
              <w:rPr>
                <w:rFonts w:ascii="Times New Roman" w:hAnsi="Times New Roman" w:cs="Times New Roman"/>
              </w:rPr>
              <w:t>newsletterów</w:t>
            </w:r>
            <w:proofErr w:type="spellEnd"/>
            <w:r w:rsidRPr="00A62BC4">
              <w:rPr>
                <w:rFonts w:ascii="Times New Roman" w:hAnsi="Times New Roman" w:cs="Times New Roman"/>
              </w:rPr>
              <w:t xml:space="preserve">, mailing. </w:t>
            </w:r>
          </w:p>
          <w:p w:rsidR="00C720AF" w:rsidRPr="00A62BC4" w:rsidRDefault="00C720AF" w:rsidP="00DF1B7B">
            <w:pPr>
              <w:rPr>
                <w:rFonts w:ascii="Times New Roman" w:hAnsi="Times New Roman" w:cs="Times New Roman"/>
              </w:rPr>
            </w:pPr>
          </w:p>
          <w:p w:rsidR="00C720AF" w:rsidRPr="00A62BC4" w:rsidRDefault="00C720AF" w:rsidP="00C720A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Wsparcie grup w niekorzystnej sytuacji</w:t>
            </w:r>
          </w:p>
          <w:p w:rsidR="00B176E9" w:rsidRPr="00A62BC4" w:rsidRDefault="00B176E9" w:rsidP="00C720AF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W działaniu tym chodzi głównie o dotarcie do jak największej liczby osób w niekorzystnej sytuacji i włączenie ich we wdrażanie LSR. </w:t>
            </w:r>
          </w:p>
          <w:p w:rsidR="00C720AF" w:rsidRPr="00A62BC4" w:rsidRDefault="00C720AF" w:rsidP="00C720AF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Grupy docelowe:</w:t>
            </w:r>
          </w:p>
          <w:p w:rsidR="00C720AF" w:rsidRPr="00A62BC4" w:rsidRDefault="00C720AF" w:rsidP="00C720AF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Osoby w niekorzystnej sytuacji: kobiety, osoby poniżej 25rż, seniorzy</w:t>
            </w:r>
            <w:r w:rsidR="00B176E9" w:rsidRPr="00A62BC4">
              <w:rPr>
                <w:rFonts w:ascii="Times New Roman" w:hAnsi="Times New Roman" w:cs="Times New Roman"/>
              </w:rPr>
              <w:t>, osoby z niepełnosprawnością</w:t>
            </w:r>
          </w:p>
          <w:p w:rsidR="00C720AF" w:rsidRPr="00A62BC4" w:rsidRDefault="00B176E9" w:rsidP="00C720AF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Środek przekazu: warsztaty</w:t>
            </w:r>
            <w:r w:rsidR="00C720AF" w:rsidRPr="00A62BC4">
              <w:rPr>
                <w:rFonts w:ascii="Times New Roman" w:hAnsi="Times New Roman" w:cs="Times New Roman"/>
              </w:rPr>
              <w:t xml:space="preserve"> refleksyjne, monitoring, ewaluacja, szkolenia i spotkania, edukacja.</w:t>
            </w:r>
          </w:p>
          <w:p w:rsidR="00DF1B7B" w:rsidRPr="00A62BC4" w:rsidRDefault="00DF1B7B" w:rsidP="00157D6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6F7A6A" w:rsidRPr="00A62BC4" w:rsidRDefault="00157D68" w:rsidP="006F7A6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Wzmacnianie partnerstwa i współpracy</w:t>
            </w:r>
          </w:p>
          <w:p w:rsidR="006F7A6A" w:rsidRPr="00A62BC4" w:rsidRDefault="006F7A6A" w:rsidP="006F7A6A">
            <w:pPr>
              <w:rPr>
                <w:rFonts w:ascii="Times New Roman" w:hAnsi="Times New Roman" w:cs="Times New Roman"/>
                <w:bCs/>
              </w:rPr>
            </w:pPr>
            <w:r w:rsidRPr="00A62BC4">
              <w:rPr>
                <w:rFonts w:ascii="Times New Roman" w:hAnsi="Times New Roman" w:cs="Times New Roman"/>
                <w:bCs/>
              </w:rPr>
              <w:t xml:space="preserve">W działaniu tym chodzi głównie o wypracowanie wspólnych projektów na obszarze LGD jak i nawiązanie współpracy z innymi </w:t>
            </w:r>
            <w:proofErr w:type="spellStart"/>
            <w:r w:rsidRPr="00A62BC4">
              <w:rPr>
                <w:rFonts w:ascii="Times New Roman" w:hAnsi="Times New Roman" w:cs="Times New Roman"/>
                <w:bCs/>
              </w:rPr>
              <w:t>LGDami</w:t>
            </w:r>
            <w:proofErr w:type="spellEnd"/>
            <w:r w:rsidRPr="00A62BC4">
              <w:rPr>
                <w:rFonts w:ascii="Times New Roman" w:hAnsi="Times New Roman" w:cs="Times New Roman"/>
                <w:bCs/>
              </w:rPr>
              <w:t>.</w:t>
            </w:r>
          </w:p>
          <w:p w:rsidR="00157D68" w:rsidRPr="00A62BC4" w:rsidRDefault="00157D68" w:rsidP="00157D68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Grupy docelowe:</w:t>
            </w:r>
          </w:p>
          <w:p w:rsidR="00157D68" w:rsidRPr="00A62BC4" w:rsidRDefault="00157D68" w:rsidP="00157D68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Mieszkańcy, przedsiębiorcy, </w:t>
            </w:r>
            <w:proofErr w:type="spellStart"/>
            <w:r w:rsidRPr="00A62BC4">
              <w:rPr>
                <w:rFonts w:ascii="Times New Roman" w:hAnsi="Times New Roman" w:cs="Times New Roman"/>
              </w:rPr>
              <w:t>jst</w:t>
            </w:r>
            <w:proofErr w:type="spellEnd"/>
            <w:r w:rsidRPr="00A62BC4">
              <w:rPr>
                <w:rFonts w:ascii="Times New Roman" w:hAnsi="Times New Roman" w:cs="Times New Roman"/>
              </w:rPr>
              <w:t>, organizacje społeczne formalne i nieformalne, rolnicy</w:t>
            </w:r>
          </w:p>
          <w:p w:rsidR="00157D68" w:rsidRPr="00A62BC4" w:rsidRDefault="00157D68" w:rsidP="00157D68">
            <w:pPr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Środek przekazu: spotkania integracyjne mające na celu wypracowanie wspólnych projektów wewnątrz obszaru objętego LSR, nawiązywanie współpracy z innymi LGD w celu łączenia grup z naszego obszaru z grup</w:t>
            </w:r>
            <w:r w:rsidR="009A29B6" w:rsidRPr="00A62BC4">
              <w:rPr>
                <w:rFonts w:ascii="Times New Roman" w:hAnsi="Times New Roman" w:cs="Times New Roman"/>
              </w:rPr>
              <w:t xml:space="preserve">ami z innych obszarów w </w:t>
            </w:r>
            <w:r w:rsidRPr="00A62BC4">
              <w:rPr>
                <w:rFonts w:ascii="Times New Roman" w:hAnsi="Times New Roman" w:cs="Times New Roman"/>
              </w:rPr>
              <w:t>realizacji wspólnych przedsięwzięć, udział w zrzeszeniach LGD – krajowych jak i wojewódzkich.</w:t>
            </w:r>
          </w:p>
          <w:p w:rsidR="00157D68" w:rsidRPr="00157D68" w:rsidRDefault="00157D68" w:rsidP="00157D68">
            <w:pPr>
              <w:rPr>
                <w:rFonts w:ascii="Arial" w:hAnsi="Arial" w:cs="Arial"/>
              </w:rPr>
            </w:pPr>
          </w:p>
        </w:tc>
      </w:tr>
      <w:tr w:rsidR="009C4DE5" w:rsidRPr="006B3865" w:rsidTr="00CA26D1">
        <w:trPr>
          <w:trHeight w:val="835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9C4DE5" w:rsidRPr="006B3865" w:rsidRDefault="007E48BC" w:rsidP="00FB2980">
            <w:pPr>
              <w:pStyle w:val="Default"/>
              <w:rPr>
                <w:sz w:val="22"/>
                <w:szCs w:val="22"/>
              </w:rPr>
            </w:pPr>
            <w:r w:rsidRPr="006B3865">
              <w:rPr>
                <w:sz w:val="22"/>
                <w:szCs w:val="22"/>
              </w:rPr>
              <w:lastRenderedPageBreak/>
              <w:t xml:space="preserve">Opis zakładanych </w:t>
            </w:r>
            <w:r w:rsidRPr="006B3865">
              <w:rPr>
                <w:b/>
                <w:sz w:val="22"/>
                <w:szCs w:val="22"/>
              </w:rPr>
              <w:t>wskaźników realizacji działań komunikacyjnych</w:t>
            </w:r>
            <w:r w:rsidRPr="006B3865">
              <w:rPr>
                <w:sz w:val="22"/>
                <w:szCs w:val="22"/>
              </w:rPr>
              <w:t xml:space="preserve"> oraz </w:t>
            </w:r>
            <w:r w:rsidRPr="006B3865">
              <w:rPr>
                <w:b/>
                <w:sz w:val="22"/>
                <w:szCs w:val="22"/>
              </w:rPr>
              <w:t>efektów działań</w:t>
            </w:r>
            <w:r w:rsidR="00FB2980" w:rsidRPr="006B3865">
              <w:rPr>
                <w:b/>
                <w:sz w:val="22"/>
                <w:szCs w:val="22"/>
              </w:rPr>
              <w:t xml:space="preserve"> komunikacyjnych</w:t>
            </w:r>
            <w:r w:rsidR="00FB2980" w:rsidRPr="006B3865">
              <w:rPr>
                <w:sz w:val="22"/>
                <w:szCs w:val="22"/>
              </w:rPr>
              <w:t xml:space="preserve">. </w:t>
            </w:r>
          </w:p>
        </w:tc>
      </w:tr>
      <w:tr w:rsidR="009C4DE5" w:rsidRPr="006B3865" w:rsidTr="00CA26D1">
        <w:trPr>
          <w:trHeight w:val="835"/>
        </w:trPr>
        <w:tc>
          <w:tcPr>
            <w:tcW w:w="5000" w:type="pct"/>
            <w:shd w:val="clear" w:color="auto" w:fill="auto"/>
            <w:vAlign w:val="center"/>
          </w:tcPr>
          <w:p w:rsidR="00157D68" w:rsidRPr="00A62BC4" w:rsidRDefault="00157D68" w:rsidP="00157D68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Ilość stron www ze stałą zakładką kompleksowo informującą o dofinansowaniach oraz działaniach LGD: 1 strona www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Na stronie: Stała zakładka do internetowego zgłaszania oraz konsultacji, komunikacji ze społeczeństwem i monitorowania: pomysłów na projekty własne lub grantowe, pomysłów na lepsze wdrażanie LSR, propozycji zmian w LSR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lastRenderedPageBreak/>
              <w:t>Strona www będzie promowana, upowszechniana oraz pozycjonowana po to by stała się swoistą platformą nie tylko informacyjną ale również wymiany informacji i otrzymywania informacji zwrotnych od społeczeństwa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</w:p>
          <w:p w:rsidR="009247CF" w:rsidRPr="00A62BC4" w:rsidRDefault="00157D68" w:rsidP="00157D68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 xml:space="preserve">Ilość miejsc świadczących doradztwo: 1 biuro świadczące doradztwo w czasie zgodnym z regulaminem </w:t>
            </w:r>
          </w:p>
          <w:p w:rsidR="009C4DE5" w:rsidRPr="00A62BC4" w:rsidRDefault="00157D68" w:rsidP="009247CF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Stałe jasne godziny urzędowania, oraz centralny dostęp do biura gwarantują zabezpieczenie spraw wnioskodawców (stała pomoc) oraz wymianę informacji.</w:t>
            </w:r>
          </w:p>
          <w:p w:rsidR="009247CF" w:rsidRPr="00A62BC4" w:rsidRDefault="009247CF" w:rsidP="009247CF">
            <w:pPr>
              <w:pStyle w:val="Akapitzlis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  <w:p w:rsidR="00157D68" w:rsidRPr="00A62BC4" w:rsidRDefault="00157D68" w:rsidP="009247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Ilość warsztatów refleksyjnych: minimum 4</w:t>
            </w:r>
          </w:p>
          <w:p w:rsidR="00157D68" w:rsidRPr="00A62BC4" w:rsidRDefault="004069AE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Pierwszy warsztat refleksyjny</w:t>
            </w:r>
            <w:r w:rsidR="00157D68" w:rsidRPr="00A62BC4">
              <w:rPr>
                <w:rFonts w:ascii="Times New Roman" w:hAnsi="Times New Roman" w:cs="Times New Roman"/>
              </w:rPr>
              <w:t xml:space="preserve"> </w:t>
            </w:r>
            <w:r w:rsidRPr="00A62BC4">
              <w:rPr>
                <w:rFonts w:ascii="Times New Roman" w:hAnsi="Times New Roman" w:cs="Times New Roman"/>
              </w:rPr>
              <w:t>zostanie zorganizowany</w:t>
            </w:r>
            <w:r w:rsidR="00157D68" w:rsidRPr="00A62BC4">
              <w:rPr>
                <w:rFonts w:ascii="Times New Roman" w:hAnsi="Times New Roman" w:cs="Times New Roman"/>
              </w:rPr>
              <w:t xml:space="preserve"> </w:t>
            </w:r>
            <w:r w:rsidRPr="00A62BC4">
              <w:rPr>
                <w:rFonts w:ascii="Times New Roman" w:hAnsi="Times New Roman" w:cs="Times New Roman"/>
              </w:rPr>
              <w:t xml:space="preserve">na początku okresu programowania tj. </w:t>
            </w:r>
            <w:r w:rsidR="00157D68" w:rsidRPr="00A62BC4">
              <w:rPr>
                <w:rFonts w:ascii="Times New Roman" w:hAnsi="Times New Roman" w:cs="Times New Roman"/>
              </w:rPr>
              <w:t>w 2024 roku</w:t>
            </w:r>
            <w:r w:rsidRPr="00A62BC4">
              <w:rPr>
                <w:rFonts w:ascii="Times New Roman" w:hAnsi="Times New Roman" w:cs="Times New Roman"/>
              </w:rPr>
              <w:t>. Jest on potrzebny na początku,</w:t>
            </w:r>
            <w:r w:rsidR="00157D68" w:rsidRPr="00A62BC4">
              <w:rPr>
                <w:rFonts w:ascii="Times New Roman" w:hAnsi="Times New Roman" w:cs="Times New Roman"/>
              </w:rPr>
              <w:t xml:space="preserve"> po to by zebrać jak najwięcej pomysłów dotyczących nowego okresu, jak również żeby rozpocząć prace na wspólnymi projektami, pomysłami na granty czy inne inicjatywy. Pierwsze spotkanie również ma na celu kompleksowe zapoznanie z założeniami nowego okresu programowania oraz z założeniami nowego LSR, jak również dają możliwość do wprowadzenia pierwszych zmian czy przemyśleń.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Kolejne warsztaty w 2025 i 2026 roku służą przedstawieniu dotychczasowych efektów, redefiniowaniu założeń, wprowadzaniu ulepszeń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Wars</w:t>
            </w:r>
            <w:r w:rsidR="004069AE" w:rsidRPr="00A62BC4">
              <w:rPr>
                <w:rFonts w:ascii="Times New Roman" w:hAnsi="Times New Roman" w:cs="Times New Roman"/>
              </w:rPr>
              <w:t>ztat w 2027 będzie</w:t>
            </w:r>
            <w:r w:rsidRPr="00A62BC4">
              <w:rPr>
                <w:rFonts w:ascii="Times New Roman" w:hAnsi="Times New Roman" w:cs="Times New Roman"/>
              </w:rPr>
              <w:t xml:space="preserve"> warsztatem </w:t>
            </w:r>
            <w:r w:rsidR="004069AE" w:rsidRPr="00A62BC4">
              <w:rPr>
                <w:rFonts w:ascii="Times New Roman" w:hAnsi="Times New Roman" w:cs="Times New Roman"/>
              </w:rPr>
              <w:t xml:space="preserve">podsumowującym, </w:t>
            </w:r>
            <w:r w:rsidRPr="00A62BC4">
              <w:rPr>
                <w:rFonts w:ascii="Times New Roman" w:hAnsi="Times New Roman" w:cs="Times New Roman"/>
              </w:rPr>
              <w:t>ukazującym co zostało zrobione i weryfikuj</w:t>
            </w:r>
            <w:r w:rsidR="004069AE" w:rsidRPr="00A62BC4">
              <w:rPr>
                <w:rFonts w:ascii="Times New Roman" w:hAnsi="Times New Roman" w:cs="Times New Roman"/>
              </w:rPr>
              <w:t>ącym kierunki i działania – będzie to</w:t>
            </w:r>
            <w:r w:rsidRPr="00A62BC4">
              <w:rPr>
                <w:rFonts w:ascii="Times New Roman" w:hAnsi="Times New Roman" w:cs="Times New Roman"/>
              </w:rPr>
              <w:t xml:space="preserve"> czas w którym </w:t>
            </w:r>
            <w:r w:rsidR="004069AE" w:rsidRPr="00A62BC4">
              <w:rPr>
                <w:rFonts w:ascii="Times New Roman" w:hAnsi="Times New Roman" w:cs="Times New Roman"/>
              </w:rPr>
              <w:t>będą mogły</w:t>
            </w:r>
            <w:r w:rsidRPr="00A62BC4">
              <w:rPr>
                <w:rFonts w:ascii="Times New Roman" w:hAnsi="Times New Roman" w:cs="Times New Roman"/>
              </w:rPr>
              <w:t xml:space="preserve"> zostać przeprowadzone konkretne zmiany we wdrażaniu LSR mające na celu skuteczną realizację strategii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</w:p>
          <w:p w:rsidR="00157D68" w:rsidRPr="00A62BC4" w:rsidRDefault="00157D68" w:rsidP="009247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Ilość spotkań integrujących: 2 sztuki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 xml:space="preserve">Spotkania </w:t>
            </w:r>
            <w:r w:rsidR="008B73D7" w:rsidRPr="00A62BC4">
              <w:rPr>
                <w:rFonts w:ascii="Times New Roman" w:hAnsi="Times New Roman" w:cs="Times New Roman"/>
              </w:rPr>
              <w:t>dedykowane przedstawicielom</w:t>
            </w:r>
            <w:r w:rsidRPr="00A62BC4">
              <w:rPr>
                <w:rFonts w:ascii="Times New Roman" w:hAnsi="Times New Roman" w:cs="Times New Roman"/>
              </w:rPr>
              <w:t xml:space="preserve"> wszystkich trzech sektorów po to by wyłonić ciekawe pomysły na wspólne projekty, nawiązać i zacieśnić współpracę wewnętrzną, wymienić się informacjami o potencjalnych zasobach i możliwości wzajemnego ubogacania się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Efektem będą zrealizowane minimum 3 projekty w których poza LGD będzie jeszcze po 3 partnerów.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</w:p>
          <w:p w:rsidR="00157D68" w:rsidRPr="00A62BC4" w:rsidRDefault="00157D68" w:rsidP="009247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Ilość szkoleń: 6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Szkolenia mające na celu edukację w zakresie opracowania, realizacji oraz rozliczania wniosków o dofinansowanie składanych w LGD</w:t>
            </w:r>
            <w:r w:rsidR="00ED1A99" w:rsidRPr="00A62BC4">
              <w:rPr>
                <w:rFonts w:ascii="Times New Roman" w:hAnsi="Times New Roman" w:cs="Times New Roman"/>
              </w:rPr>
              <w:t>. Udzielane będą informacje dotyczące innych programów, możliwości pozyskiwania środków finansowych z innych źródeł i funduszy.</w:t>
            </w:r>
            <w:r w:rsidR="00014C84" w:rsidRPr="00A62BC4">
              <w:rPr>
                <w:rFonts w:ascii="Times New Roman" w:hAnsi="Times New Roman" w:cs="Times New Roman"/>
              </w:rPr>
              <w:t xml:space="preserve"> Efektem będzie zwiększenie wiedzy o funduszach unijnych. 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</w:p>
          <w:p w:rsidR="00157D68" w:rsidRPr="00A62BC4" w:rsidRDefault="00157D68" w:rsidP="009247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Ilość powiadomionych osób/instytucji o nowym okresie programowania oraz dofinansowaniach: 300 osób</w:t>
            </w:r>
          </w:p>
          <w:p w:rsidR="00ED1A99" w:rsidRPr="00A62BC4" w:rsidRDefault="00157D68" w:rsidP="00ED1A99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Działanie ma na celu rozpowszechnienie informacji o wdrażanym LSR w</w:t>
            </w:r>
            <w:r w:rsidR="00ED1A99" w:rsidRPr="00A62BC4">
              <w:rPr>
                <w:rFonts w:ascii="Times New Roman" w:hAnsi="Times New Roman" w:cs="Times New Roman"/>
              </w:rPr>
              <w:t>śród jak największej ilości osób, informacji o nowym okresie programowania, założeniach LSR, planach spotkań, planie komunikacyjnym.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</w:p>
          <w:p w:rsidR="00157D68" w:rsidRPr="00A62BC4" w:rsidRDefault="00157D68" w:rsidP="009247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Ilość raportów monitorujących: 5 sztuk</w:t>
            </w:r>
          </w:p>
          <w:p w:rsidR="00157D68" w:rsidRPr="00A62BC4" w:rsidRDefault="009247CF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Raporty mają na celu ewaluację</w:t>
            </w:r>
            <w:r w:rsidR="00157D68" w:rsidRPr="00A62BC4">
              <w:rPr>
                <w:rFonts w:ascii="Times New Roman" w:hAnsi="Times New Roman" w:cs="Times New Roman"/>
              </w:rPr>
              <w:t xml:space="preserve"> oraz korygowanie działań LGD oraz procesu wdrażanie LSR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  <w:p w:rsidR="00157D68" w:rsidRPr="00A62BC4" w:rsidRDefault="00157D68" w:rsidP="009247CF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>Ilość projektów w partnerstwie z minimum 3 podmiotami: 3 projekty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</w:rPr>
            </w:pPr>
            <w:r w:rsidRPr="00A62BC4">
              <w:rPr>
                <w:rFonts w:ascii="Times New Roman" w:hAnsi="Times New Roman" w:cs="Times New Roman"/>
              </w:rPr>
              <w:t>Wspólne projekty mają na celu wzmacniane organizacji z obszaru działania LGD, zacieśnianie więzi</w:t>
            </w:r>
            <w:r w:rsidR="006F08AC" w:rsidRPr="00A62BC4">
              <w:rPr>
                <w:rFonts w:ascii="Times New Roman" w:hAnsi="Times New Roman" w:cs="Times New Roman"/>
              </w:rPr>
              <w:t>. Efektem będzie również wzrost zaangażowania mieszkańców w podejmowane przez LGD działania, w tym partnerskie projekty współpracy lokalnej.</w:t>
            </w:r>
            <w:r w:rsidRPr="00A62BC4">
              <w:rPr>
                <w:rFonts w:ascii="Times New Roman" w:hAnsi="Times New Roman" w:cs="Times New Roman"/>
              </w:rPr>
              <w:t xml:space="preserve"> </w:t>
            </w:r>
          </w:p>
          <w:p w:rsidR="00157D68" w:rsidRPr="00A62BC4" w:rsidRDefault="00157D68" w:rsidP="00157D68">
            <w:pPr>
              <w:pStyle w:val="Akapitzlis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  <w:p w:rsidR="007A3F4E" w:rsidRPr="00A62BC4" w:rsidRDefault="004069AE" w:rsidP="00157D68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/>
                <w:bCs/>
              </w:rPr>
              <w:t xml:space="preserve">Ilość spotkań informacyjno - konsultacyjnych dla beneficjentów: 20 szt. </w:t>
            </w:r>
          </w:p>
          <w:p w:rsidR="009C4DE5" w:rsidRPr="004D05B6" w:rsidRDefault="007A3F4E" w:rsidP="004D05B6">
            <w:pPr>
              <w:pStyle w:val="Akapitzlis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62BC4">
              <w:rPr>
                <w:rFonts w:ascii="Times New Roman" w:hAnsi="Times New Roman" w:cs="Times New Roman"/>
                <w:bCs/>
              </w:rPr>
              <w:t xml:space="preserve">Spotkania </w:t>
            </w:r>
            <w:r w:rsidRPr="00A62BC4">
              <w:rPr>
                <w:rFonts w:ascii="Times New Roman" w:hAnsi="Times New Roman" w:cs="Times New Roman"/>
              </w:rPr>
              <w:t>m</w:t>
            </w:r>
            <w:r w:rsidR="00157D68" w:rsidRPr="00A62BC4">
              <w:rPr>
                <w:rFonts w:ascii="Times New Roman" w:hAnsi="Times New Roman" w:cs="Times New Roman"/>
              </w:rPr>
              <w:t>ają</w:t>
            </w:r>
            <w:r w:rsidRPr="00A62BC4">
              <w:rPr>
                <w:rFonts w:ascii="Times New Roman" w:hAnsi="Times New Roman" w:cs="Times New Roman"/>
              </w:rPr>
              <w:t>ce</w:t>
            </w:r>
            <w:r w:rsidR="00157D68" w:rsidRPr="00A62BC4">
              <w:rPr>
                <w:rFonts w:ascii="Times New Roman" w:hAnsi="Times New Roman" w:cs="Times New Roman"/>
              </w:rPr>
              <w:t xml:space="preserve"> na celu ko</w:t>
            </w:r>
            <w:r w:rsidR="009707F8" w:rsidRPr="00A62BC4">
              <w:rPr>
                <w:rFonts w:ascii="Times New Roman" w:hAnsi="Times New Roman" w:cs="Times New Roman"/>
              </w:rPr>
              <w:t xml:space="preserve">mpleksową obsługę wnioskodawców. Efektem </w:t>
            </w:r>
            <w:proofErr w:type="spellStart"/>
            <w:r w:rsidR="009707F8" w:rsidRPr="00A62BC4">
              <w:rPr>
                <w:rFonts w:ascii="Times New Roman" w:hAnsi="Times New Roman" w:cs="Times New Roman"/>
              </w:rPr>
              <w:t>bedzie</w:t>
            </w:r>
            <w:proofErr w:type="spellEnd"/>
            <w:r w:rsidR="00157D68" w:rsidRPr="00A62BC4">
              <w:rPr>
                <w:rFonts w:ascii="Times New Roman" w:hAnsi="Times New Roman" w:cs="Times New Roman"/>
              </w:rPr>
              <w:t xml:space="preserve"> wzrost jakości i poprawności składanych wniosków, poprawa realizacji projektów, poprawne rozliczanie projektów.</w:t>
            </w:r>
            <w:r w:rsidR="00671CE6" w:rsidRPr="00A62B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2980" w:rsidRPr="006B3865" w:rsidTr="00CA26D1">
        <w:trPr>
          <w:trHeight w:val="835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FB2980" w:rsidRPr="006B3865" w:rsidRDefault="00FB2980" w:rsidP="00FB2980">
            <w:pPr>
              <w:pStyle w:val="Default"/>
              <w:rPr>
                <w:sz w:val="22"/>
                <w:szCs w:val="22"/>
              </w:rPr>
            </w:pPr>
            <w:r w:rsidRPr="006B3865">
              <w:rPr>
                <w:sz w:val="22"/>
                <w:szCs w:val="22"/>
              </w:rPr>
              <w:lastRenderedPageBreak/>
              <w:t xml:space="preserve">Opis sposobu, w jaki będzie analizowana </w:t>
            </w:r>
            <w:r w:rsidRPr="006B3865">
              <w:rPr>
                <w:b/>
                <w:sz w:val="22"/>
                <w:szCs w:val="22"/>
              </w:rPr>
              <w:t>efektywność działań komunikacyjnych i zastosowanych środków przekazu</w:t>
            </w:r>
            <w:r w:rsidRPr="006B3865">
              <w:rPr>
                <w:sz w:val="22"/>
                <w:szCs w:val="22"/>
              </w:rPr>
              <w:t xml:space="preserve"> (w tym tryb korygowania planu komunikacji).</w:t>
            </w:r>
          </w:p>
        </w:tc>
      </w:tr>
      <w:tr w:rsidR="00FB2980" w:rsidRPr="006B3865" w:rsidTr="00CA26D1">
        <w:trPr>
          <w:trHeight w:val="8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FB2980" w:rsidRPr="006B3865" w:rsidRDefault="00FB2980" w:rsidP="00FB2980">
            <w:pPr>
              <w:pStyle w:val="Default"/>
              <w:rPr>
                <w:sz w:val="22"/>
                <w:szCs w:val="22"/>
              </w:rPr>
            </w:pPr>
          </w:p>
          <w:p w:rsidR="00FB2980" w:rsidRPr="006E38A7" w:rsidRDefault="00157D68" w:rsidP="00FB29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A771D">
              <w:rPr>
                <w:rFonts w:ascii="Times New Roman" w:hAnsi="Times New Roman" w:cs="Times New Roman"/>
                <w:sz w:val="22"/>
                <w:szCs w:val="22"/>
              </w:rPr>
              <w:t>Do każdego z działań komunikacyjnych przyporządkowano konkretne środki przekazu, którym z kolei przyporządkowano jednoznaczne wskaźniki pozwalające na ewidencjonowanie prowadzonych działań komunikacyjnych. Dane te będą poddawane ocenie pod kątem skuteczności i efektywności na corocznych spotkaniach refleksyjnych. W okresie pomiędzy spotkaniami, mieszkańcy obszaru będą mogli zgłaszać swoje uwagi i propozycje poprzez formularze kontaktowe i fiszki z pomysłami. Propozycje te będą co roku podsumowywane w raportach przedstawiany</w:t>
            </w:r>
            <w:r w:rsidR="000A771D">
              <w:rPr>
                <w:rFonts w:ascii="Times New Roman" w:hAnsi="Times New Roman" w:cs="Times New Roman"/>
                <w:sz w:val="22"/>
                <w:szCs w:val="22"/>
              </w:rPr>
              <w:t>ch na spotkaniach refleksyjnych. Dzięki temu `nie pozostaną one bez rozpatrzenia, a  zostaną uwzględnione</w:t>
            </w:r>
            <w:r w:rsidRPr="000A771D">
              <w:rPr>
                <w:rFonts w:ascii="Times New Roman" w:hAnsi="Times New Roman" w:cs="Times New Roman"/>
                <w:sz w:val="22"/>
                <w:szCs w:val="22"/>
              </w:rPr>
              <w:t xml:space="preserve"> przez Zarząd LGD. Dodatkowo, plan komunikacji stanowi jeden z elementów podlegających monitoringowi i badaniu ewaluacyjnemu opisanych w rozdziale X </w:t>
            </w:r>
            <w:r w:rsidRPr="006E38A7">
              <w:rPr>
                <w:rFonts w:ascii="Times New Roman" w:hAnsi="Times New Roman" w:cs="Times New Roman"/>
                <w:sz w:val="22"/>
                <w:szCs w:val="22"/>
              </w:rPr>
              <w:t>LSR. Bieżące monitorowanie postępów i efektów realizacji planu komunikacji będzie stanowiło podstawę do podejmowania decyzji przez Zarząd w tej kwestii. W zakresie planowanych badań ewaluacyjnych przewidziano również badanie efektywności działań komunikacyjnych, których wyniki będą również stanowiły podstawę z jednej strony do zebrania opinii na jego temat wśród przewidzianych do badania grup docelowych, z drugiej strony do podjęcia decyzji dotyczących dalszej realizacji lub zmiany działań komunikacyjnych i zastosowanych środków przekazu.</w:t>
            </w:r>
          </w:p>
          <w:p w:rsidR="00F80C30" w:rsidRPr="006E38A7" w:rsidRDefault="00F80C30" w:rsidP="00FB29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980" w:rsidRPr="006E38A7" w:rsidRDefault="00F80C30" w:rsidP="00FB29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38A7">
              <w:rPr>
                <w:rFonts w:ascii="Times New Roman" w:hAnsi="Times New Roman" w:cs="Times New Roman"/>
                <w:sz w:val="22"/>
                <w:szCs w:val="22"/>
              </w:rPr>
              <w:t xml:space="preserve">Wszystkie wnioski i opinie, także w zakresie komunikacji w LGD będą zbierane (stała ankieta </w:t>
            </w:r>
            <w:proofErr w:type="spellStart"/>
            <w:r w:rsidRPr="006E38A7">
              <w:rPr>
                <w:rFonts w:ascii="Times New Roman" w:hAnsi="Times New Roman" w:cs="Times New Roman"/>
                <w:sz w:val="22"/>
                <w:szCs w:val="22"/>
              </w:rPr>
              <w:t>online</w:t>
            </w:r>
            <w:proofErr w:type="spellEnd"/>
            <w:r w:rsidRPr="006E38A7">
              <w:rPr>
                <w:rFonts w:ascii="Times New Roman" w:hAnsi="Times New Roman" w:cs="Times New Roman"/>
                <w:sz w:val="22"/>
                <w:szCs w:val="22"/>
              </w:rPr>
              <w:t xml:space="preserve"> na stronie internetowej) i szczegółowo analizowane przez pracowników Biura i Zarząd. Jeśli będą</w:t>
            </w:r>
            <w:r w:rsidR="006E38A7" w:rsidRPr="006E38A7">
              <w:rPr>
                <w:rFonts w:ascii="Times New Roman" w:hAnsi="Times New Roman" w:cs="Times New Roman"/>
                <w:sz w:val="22"/>
                <w:szCs w:val="22"/>
              </w:rPr>
              <w:t xml:space="preserve"> to zasadne postulaty zmian będą one wpływać</w:t>
            </w:r>
            <w:r w:rsidRPr="006E38A7">
              <w:rPr>
                <w:rFonts w:ascii="Times New Roman" w:hAnsi="Times New Roman" w:cs="Times New Roman"/>
                <w:sz w:val="22"/>
                <w:szCs w:val="22"/>
              </w:rPr>
              <w:t xml:space="preserve"> na wprowadzenie korekt w działaniach lub procedurach (aktualizacja dokumentów wprowadzona uchwałą Zarządu). Uzyskane wnioski i opinie pozwolą na sprawne prowadzenie działań komuni</w:t>
            </w:r>
            <w:r w:rsidR="006E38A7" w:rsidRPr="006E38A7">
              <w:rPr>
                <w:rFonts w:ascii="Times New Roman" w:hAnsi="Times New Roman" w:cs="Times New Roman"/>
                <w:sz w:val="22"/>
                <w:szCs w:val="22"/>
              </w:rPr>
              <w:t xml:space="preserve">kacyjnych oraz utrzymania ich </w:t>
            </w:r>
            <w:r w:rsidRPr="006E38A7">
              <w:rPr>
                <w:rFonts w:ascii="Times New Roman" w:hAnsi="Times New Roman" w:cs="Times New Roman"/>
                <w:sz w:val="22"/>
                <w:szCs w:val="22"/>
              </w:rPr>
              <w:t xml:space="preserve">wysokiej jakości i efektywności. W przypadku komunikacji z mieszkańcami mogą wpłynąć na wzmocnienie lub osłabienie stosowanych metod lub zastąpienie ich innymi. LGD „Na Śliwkowym Szlaku” ma już opracowaną i przetestowaną sieć współpracy na obszarze, która efektywnie i skutecznie wspiera komunikację w każdej gminie obszaru. Wyniki ankiet </w:t>
            </w:r>
            <w:r w:rsidR="006E38A7" w:rsidRPr="006E38A7">
              <w:rPr>
                <w:rFonts w:ascii="Times New Roman" w:hAnsi="Times New Roman" w:cs="Times New Roman"/>
                <w:sz w:val="22"/>
                <w:szCs w:val="22"/>
              </w:rPr>
              <w:t>mogą wskazywać</w:t>
            </w:r>
            <w:r w:rsidRPr="006E38A7">
              <w:rPr>
                <w:rFonts w:ascii="Times New Roman" w:hAnsi="Times New Roman" w:cs="Times New Roman"/>
                <w:sz w:val="22"/>
                <w:szCs w:val="22"/>
              </w:rPr>
              <w:t xml:space="preserve"> na ewentualną potrzebę kontroli wdrażania LSR w trakcie całego jej procesu</w:t>
            </w:r>
            <w:r w:rsidR="006E38A7" w:rsidRPr="006E38A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2980" w:rsidRPr="006B3865" w:rsidRDefault="00FB2980" w:rsidP="00C46FA8">
            <w:pPr>
              <w:pStyle w:val="Default"/>
              <w:rPr>
                <w:sz w:val="22"/>
                <w:szCs w:val="22"/>
              </w:rPr>
            </w:pPr>
          </w:p>
        </w:tc>
      </w:tr>
      <w:tr w:rsidR="00FB2980" w:rsidRPr="006B3865" w:rsidTr="00CA26D1">
        <w:trPr>
          <w:trHeight w:val="835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FB2980" w:rsidRPr="006B3865" w:rsidRDefault="00FB2980" w:rsidP="00FB2980">
            <w:pPr>
              <w:pStyle w:val="Default"/>
              <w:rPr>
                <w:sz w:val="22"/>
                <w:szCs w:val="22"/>
              </w:rPr>
            </w:pPr>
            <w:r w:rsidRPr="006B3865">
              <w:rPr>
                <w:sz w:val="22"/>
                <w:szCs w:val="22"/>
              </w:rPr>
              <w:t xml:space="preserve">Indykatywny </w:t>
            </w:r>
            <w:r w:rsidRPr="006B3865">
              <w:rPr>
                <w:b/>
                <w:sz w:val="22"/>
                <w:szCs w:val="22"/>
              </w:rPr>
              <w:t>budżet</w:t>
            </w:r>
            <w:r w:rsidRPr="006B3865">
              <w:rPr>
                <w:sz w:val="22"/>
                <w:szCs w:val="22"/>
              </w:rPr>
              <w:t xml:space="preserve"> przewidziany na działania komunikacyjne, ze wskazaniem </w:t>
            </w:r>
            <w:r w:rsidRPr="006B3865">
              <w:rPr>
                <w:b/>
                <w:sz w:val="22"/>
                <w:szCs w:val="22"/>
              </w:rPr>
              <w:t>głównych kategorii wydatków</w:t>
            </w:r>
            <w:r w:rsidRPr="006B3865">
              <w:rPr>
                <w:sz w:val="22"/>
                <w:szCs w:val="22"/>
              </w:rPr>
              <w:t xml:space="preserve"> - </w:t>
            </w:r>
            <w:r w:rsidRPr="006B3865">
              <w:rPr>
                <w:b/>
                <w:bCs/>
                <w:sz w:val="22"/>
                <w:szCs w:val="22"/>
              </w:rPr>
              <w:t>przy założeniu minimalizacji wydatków na gadżety reklamowe oraz publikacji wymagających druku.</w:t>
            </w:r>
          </w:p>
        </w:tc>
      </w:tr>
      <w:tr w:rsidR="00FB2980" w:rsidRPr="006B3865" w:rsidTr="00CA26D1">
        <w:trPr>
          <w:trHeight w:val="8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C46FA8" w:rsidRPr="00577D03" w:rsidRDefault="0020143D" w:rsidP="00C46FA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21ED0">
              <w:rPr>
                <w:rFonts w:ascii="Times New Roman" w:hAnsi="Times New Roman" w:cs="Times New Roman"/>
                <w:sz w:val="22"/>
                <w:szCs w:val="22"/>
              </w:rPr>
              <w:t xml:space="preserve">W planie komunikacji przewidziano stosowanie środków przekazu dostosowanych do potrzeb różnych grup odbiorców. W większości przypadków postawiono na 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 xml:space="preserve">komunikację bezpośrednią (spotkania, szkolenia, doradztwo) oraz komunikację zapośredniczoną przez Internet (email, komunikatory internetowe, strony internetowe, media społecznościowe). W ramach projektowania poszczególnych działań i doboru środków przekazu zadbano o to, aby zminimalizować wydatki na gadżety reklamowe oraz publikacje wymagające druku zgodnie z interpretacją </w:t>
            </w:r>
            <w:proofErr w:type="spellStart"/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MRiRW</w:t>
            </w:r>
            <w:proofErr w:type="spellEnd"/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. Oznacza to, że wydatki tego typu są dozwolone tylko w wyjątkowych okolicznościach, tzn. tylko wtedy, gdy nie jest możliwe dotarcie z odpowiednim przesłaniem do odbiorców w inny sposób, czyli każdy planowany wydatek tego typu będzie wymagał dodatkowego uzasadnienia.</w:t>
            </w:r>
          </w:p>
          <w:p w:rsidR="00C46FA8" w:rsidRPr="00577D03" w:rsidRDefault="00C46FA8" w:rsidP="00C46FA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A8" w:rsidRPr="00577D03" w:rsidRDefault="00C46FA8" w:rsidP="00C46FA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 xml:space="preserve">Indykatywny budżet na przewidziane w planie komunikacji działania wynosi </w:t>
            </w:r>
            <w:r w:rsidR="00821ED0" w:rsidRPr="008640CF">
              <w:rPr>
                <w:rFonts w:ascii="Times New Roman" w:hAnsi="Times New Roman" w:cs="Times New Roman"/>
                <w:b/>
                <w:sz w:val="22"/>
                <w:szCs w:val="22"/>
              </w:rPr>
              <w:t>100 000,00</w:t>
            </w:r>
            <w:r w:rsidR="008640CF" w:rsidRPr="008640C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euro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. Główne kategorie wydatków to:</w:t>
            </w:r>
          </w:p>
          <w:p w:rsidR="00821ED0" w:rsidRPr="00577D03" w:rsidRDefault="00821ED0" w:rsidP="00821ED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77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szkolenia, edukacja, spotkania informacyjno - konsultacyjne</w:t>
            </w:r>
            <w:r w:rsidR="002655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wykładowcy, wyn</w:t>
            </w:r>
            <w:r w:rsidR="002655BD">
              <w:rPr>
                <w:rFonts w:ascii="Times New Roman" w:hAnsi="Times New Roman" w:cs="Times New Roman"/>
                <w:sz w:val="22"/>
                <w:szCs w:val="22"/>
              </w:rPr>
              <w:t>ajem sal, catering, koordynacja;</w:t>
            </w:r>
          </w:p>
          <w:p w:rsidR="00821ED0" w:rsidRPr="00577D03" w:rsidRDefault="00821ED0" w:rsidP="00821ED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materiały promocyjno</w:t>
            </w:r>
            <w:r w:rsidR="00D63F73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8640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informacyjno</w:t>
            </w:r>
            <w:r w:rsidR="00D63F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640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edukacy</w:t>
            </w:r>
            <w:r w:rsidR="008640CF">
              <w:rPr>
                <w:rFonts w:ascii="Times New Roman" w:hAnsi="Times New Roman" w:cs="Times New Roman"/>
                <w:sz w:val="22"/>
                <w:szCs w:val="22"/>
              </w:rPr>
              <w:t xml:space="preserve">jne : 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 xml:space="preserve">strona internetowa, </w:t>
            </w:r>
            <w:proofErr w:type="spellStart"/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Facebook</w:t>
            </w:r>
            <w:proofErr w:type="spellEnd"/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, ulotki, plakaty, broszury, m</w:t>
            </w:r>
            <w:r w:rsidR="002655BD">
              <w:rPr>
                <w:rFonts w:ascii="Times New Roman" w:hAnsi="Times New Roman" w:cs="Times New Roman"/>
                <w:sz w:val="22"/>
                <w:szCs w:val="22"/>
              </w:rPr>
              <w:t>ateriały reklamowe i promocyjne;</w:t>
            </w:r>
          </w:p>
          <w:p w:rsidR="00821ED0" w:rsidRPr="00577D03" w:rsidRDefault="00821ED0" w:rsidP="00821ED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ewaluacja, monitoring (wraz z ankietami, fiszk</w:t>
            </w:r>
            <w:r w:rsidR="008640CF">
              <w:rPr>
                <w:rFonts w:ascii="Times New Roman" w:hAnsi="Times New Roman" w:cs="Times New Roman"/>
                <w:sz w:val="22"/>
                <w:szCs w:val="22"/>
              </w:rPr>
              <w:t>ami, badaniami, spotkaniami)</w:t>
            </w:r>
            <w:r w:rsidR="002655BD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AE0A06">
              <w:rPr>
                <w:rFonts w:ascii="Times New Roman" w:hAnsi="Times New Roman" w:cs="Times New Roman"/>
                <w:sz w:val="22"/>
                <w:szCs w:val="22"/>
              </w:rPr>
              <w:t>wynajem firm analitycznych/badawczych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, koszty moderatorów/koordynatorów, koszty ankieterów, koszty materiałów, koszty spotkań ze społe</w:t>
            </w:r>
            <w:r w:rsidR="002655BD">
              <w:rPr>
                <w:rFonts w:ascii="Times New Roman" w:hAnsi="Times New Roman" w:cs="Times New Roman"/>
                <w:sz w:val="22"/>
                <w:szCs w:val="22"/>
              </w:rPr>
              <w:t>czeństwem, koszty organizacyjne;</w:t>
            </w:r>
          </w:p>
          <w:p w:rsidR="00821ED0" w:rsidRPr="00577D03" w:rsidRDefault="00821ED0" w:rsidP="00821ED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 xml:space="preserve">spotkania promocyjne, integracyjne, warsztaty refleksyjne </w:t>
            </w:r>
            <w:r w:rsidR="002655B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77D03">
              <w:rPr>
                <w:rFonts w:ascii="Times New Roman" w:hAnsi="Times New Roman" w:cs="Times New Roman"/>
                <w:sz w:val="22"/>
                <w:szCs w:val="22"/>
              </w:rPr>
              <w:t>wynajem sal, sprzętu, opłata za przejazd, pobyt uczestników, catering, koszty wykładowców/koor</w:t>
            </w:r>
            <w:r w:rsidR="002655BD">
              <w:rPr>
                <w:rFonts w:ascii="Times New Roman" w:hAnsi="Times New Roman" w:cs="Times New Roman"/>
                <w:sz w:val="22"/>
                <w:szCs w:val="22"/>
              </w:rPr>
              <w:t>dynatorów, koszty organizacyjne;</w:t>
            </w:r>
          </w:p>
          <w:p w:rsidR="00577D03" w:rsidRPr="00577D03" w:rsidRDefault="00577D03" w:rsidP="00821ED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77D03">
              <w:rPr>
                <w:rFonts w:ascii="Times New Roman" w:hAnsi="Times New Roman" w:cs="Times New Roman"/>
                <w:sz w:val="22"/>
                <w:szCs w:val="20"/>
              </w:rPr>
              <w:t xml:space="preserve">utrzymanie strony </w:t>
            </w:r>
            <w:r w:rsidR="002655BD">
              <w:rPr>
                <w:rFonts w:ascii="Times New Roman" w:hAnsi="Times New Roman" w:cs="Times New Roman"/>
                <w:sz w:val="22"/>
                <w:szCs w:val="20"/>
              </w:rPr>
              <w:t xml:space="preserve">internetowej - </w:t>
            </w:r>
            <w:r w:rsidR="00154A66">
              <w:rPr>
                <w:rFonts w:ascii="Times New Roman" w:hAnsi="Times New Roman" w:cs="Times New Roman"/>
                <w:sz w:val="22"/>
                <w:szCs w:val="20"/>
              </w:rPr>
              <w:t>domena i hosting</w:t>
            </w:r>
            <w:r w:rsidR="002655BD">
              <w:rPr>
                <w:rFonts w:ascii="Times New Roman" w:hAnsi="Times New Roman" w:cs="Times New Roman"/>
                <w:sz w:val="22"/>
                <w:szCs w:val="20"/>
              </w:rPr>
              <w:t>;</w:t>
            </w:r>
          </w:p>
          <w:p w:rsidR="00157D68" w:rsidRPr="006B3865" w:rsidRDefault="00157D68" w:rsidP="00157D6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D1F36" w:rsidRDefault="000D1F36" w:rsidP="00685E89">
      <w:pPr>
        <w:spacing w:after="0" w:line="240" w:lineRule="auto"/>
        <w:rPr>
          <w:rFonts w:ascii="Arial" w:hAnsi="Arial" w:cs="Arial"/>
        </w:rPr>
      </w:pPr>
    </w:p>
    <w:p w:rsidR="00685E89" w:rsidRPr="00685E89" w:rsidRDefault="00685E89" w:rsidP="00685E89">
      <w:pPr>
        <w:spacing w:after="0" w:line="240" w:lineRule="auto"/>
        <w:rPr>
          <w:rFonts w:ascii="Arial" w:hAnsi="Arial" w:cs="Arial"/>
          <w:i/>
          <w:color w:val="767171" w:themeColor="background2" w:themeShade="80"/>
          <w:sz w:val="20"/>
        </w:rPr>
      </w:pPr>
      <w:r w:rsidRPr="00685E89">
        <w:rPr>
          <w:rFonts w:ascii="Arial" w:hAnsi="Arial" w:cs="Arial"/>
          <w:i/>
          <w:color w:val="767171" w:themeColor="background2" w:themeShade="80"/>
          <w:sz w:val="20"/>
        </w:rPr>
        <w:t>Tabela nr 1</w:t>
      </w:r>
    </w:p>
    <w:tbl>
      <w:tblPr>
        <w:tblStyle w:val="Tabela-Siatka"/>
        <w:tblW w:w="15310" w:type="dxa"/>
        <w:tblInd w:w="-714" w:type="dxa"/>
        <w:tblLayout w:type="fixed"/>
        <w:tblLook w:val="04A0"/>
      </w:tblPr>
      <w:tblGrid>
        <w:gridCol w:w="1276"/>
        <w:gridCol w:w="1531"/>
        <w:gridCol w:w="1843"/>
        <w:gridCol w:w="2013"/>
        <w:gridCol w:w="1956"/>
        <w:gridCol w:w="1984"/>
        <w:gridCol w:w="2410"/>
        <w:gridCol w:w="2297"/>
      </w:tblGrid>
      <w:tr w:rsidR="009543D7" w:rsidRPr="00DF1F64" w:rsidTr="00FB7359">
        <w:trPr>
          <w:trHeight w:val="547"/>
        </w:trPr>
        <w:tc>
          <w:tcPr>
            <w:tcW w:w="1276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Termin</w:t>
            </w:r>
          </w:p>
          <w:p w:rsidR="00A5562E" w:rsidRPr="00DF1F64" w:rsidRDefault="00A5562E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531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Cel komunikacji</w:t>
            </w:r>
          </w:p>
        </w:tc>
        <w:tc>
          <w:tcPr>
            <w:tcW w:w="1843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Nazwa działania komunikacyjnego</w:t>
            </w:r>
          </w:p>
        </w:tc>
        <w:tc>
          <w:tcPr>
            <w:tcW w:w="2013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Adresaci działania komunikacyjnego – grupa docelowa</w:t>
            </w:r>
          </w:p>
        </w:tc>
        <w:tc>
          <w:tcPr>
            <w:tcW w:w="1956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Środki przekazu</w:t>
            </w:r>
          </w:p>
        </w:tc>
        <w:tc>
          <w:tcPr>
            <w:tcW w:w="1984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Planowane do osiągniecia wskaźniki realizacji działania komunikacyjnego</w:t>
            </w:r>
          </w:p>
        </w:tc>
        <w:tc>
          <w:tcPr>
            <w:tcW w:w="2410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Planowane efekty działania komunikacyjnego</w:t>
            </w:r>
          </w:p>
        </w:tc>
        <w:tc>
          <w:tcPr>
            <w:tcW w:w="2297" w:type="dxa"/>
            <w:vAlign w:val="center"/>
          </w:tcPr>
          <w:p w:rsidR="009543D7" w:rsidRPr="00DF1F64" w:rsidRDefault="009543D7" w:rsidP="009B6E98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Planowany budżet działania komunikacyjnego</w:t>
            </w:r>
            <w:r w:rsidR="00C40896" w:rsidRPr="00DF1F64">
              <w:rPr>
                <w:rFonts w:ascii="Times New Roman" w:hAnsi="Times New Roman" w:cs="Times New Roman"/>
              </w:rPr>
              <w:t xml:space="preserve"> ze wskazaniem głównych kategorii wydatków</w:t>
            </w:r>
            <w:r w:rsidR="009B6E98" w:rsidRPr="00DF1F64">
              <w:rPr>
                <w:rFonts w:ascii="Times New Roman" w:hAnsi="Times New Roman" w:cs="Times New Roman"/>
              </w:rPr>
              <w:t xml:space="preserve"> oraz źródła finansowania (fundusz: EFRROW, EFRR, EFS+)</w:t>
            </w:r>
            <w:r w:rsidR="00C40896" w:rsidRPr="00DF1F64">
              <w:rPr>
                <w:rFonts w:ascii="Times New Roman" w:hAnsi="Times New Roman" w:cs="Times New Roman"/>
              </w:rPr>
              <w:t>.</w:t>
            </w:r>
          </w:p>
        </w:tc>
      </w:tr>
      <w:tr w:rsidR="004D05B6" w:rsidRPr="00DF1F64" w:rsidTr="00DF6B53">
        <w:trPr>
          <w:trHeight w:val="220"/>
        </w:trPr>
        <w:tc>
          <w:tcPr>
            <w:tcW w:w="1276" w:type="dxa"/>
            <w:vMerge w:val="restart"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1531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Konsultowanie zmian w LSR, ewaluacja i monitoring oraz zachęcanie do zaangażowania we wdrażanie LSR.</w:t>
            </w:r>
          </w:p>
        </w:tc>
        <w:tc>
          <w:tcPr>
            <w:tcW w:w="1843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Partycypacyjny oraz </w:t>
            </w:r>
            <w:proofErr w:type="spellStart"/>
            <w:r w:rsidRPr="00DF1F64">
              <w:rPr>
                <w:rFonts w:ascii="Times New Roman" w:hAnsi="Times New Roman" w:cs="Times New Roman"/>
              </w:rPr>
              <w:t>inkluzywny</w:t>
            </w:r>
            <w:proofErr w:type="spellEnd"/>
            <w:r w:rsidRPr="00DF1F64">
              <w:rPr>
                <w:rFonts w:ascii="Times New Roman" w:hAnsi="Times New Roman" w:cs="Times New Roman"/>
              </w:rPr>
              <w:t xml:space="preserve"> charakter wdrażania LSR</w:t>
            </w:r>
          </w:p>
        </w:tc>
        <w:tc>
          <w:tcPr>
            <w:tcW w:w="2013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Mieszkańcy obszaru LGD, organizacje pozarządowe, JST, przedsiębiorcy</w:t>
            </w: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Ankieta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ankiet oceniających jakość porad wypełnionych przez osoby z nich korzystające,</w:t>
            </w:r>
          </w:p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ankieta</w:t>
            </w:r>
            <w:r w:rsidR="00DF1F64">
              <w:rPr>
                <w:rFonts w:ascii="Times New Roman" w:hAnsi="Times New Roman" w:cs="Times New Roman"/>
              </w:rPr>
              <w:t xml:space="preserve"> (30</w:t>
            </w:r>
            <w:r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pozyskanie informacji zwrotnej na temat jakości świadczonego doradztwa</w:t>
            </w:r>
          </w:p>
        </w:tc>
        <w:tc>
          <w:tcPr>
            <w:tcW w:w="2297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15 000 EUR</w:t>
            </w:r>
          </w:p>
          <w:p w:rsidR="004D05B6" w:rsidRPr="00DF1F64" w:rsidRDefault="004D05B6" w:rsidP="00DF6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1F64">
              <w:rPr>
                <w:rFonts w:ascii="Times New Roman" w:hAnsi="Times New Roman" w:cs="Times New Roman"/>
                <w:sz w:val="22"/>
                <w:szCs w:val="22"/>
              </w:rPr>
              <w:t>Koszt działań promocyjnych utrzymanie strony internetowej (domena i hosting),</w:t>
            </w:r>
          </w:p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koszt publikacji w mediach,</w:t>
            </w:r>
            <w:r w:rsidR="00F57119" w:rsidRPr="00DF1F64">
              <w:rPr>
                <w:rFonts w:ascii="Times New Roman" w:hAnsi="Times New Roman" w:cs="Times New Roman"/>
              </w:rPr>
              <w:t xml:space="preserve"> (EFRROW</w:t>
            </w:r>
            <w:r w:rsidR="008E30FD" w:rsidRPr="00DF1F64">
              <w:rPr>
                <w:rFonts w:ascii="Times New Roman" w:hAnsi="Times New Roman" w:cs="Times New Roman"/>
              </w:rPr>
              <w:t>-13 000,00; EFS+ 1 000,00, EFRR – 1 000,00</w:t>
            </w:r>
            <w:r w:rsidR="00F57119" w:rsidRPr="00DF1F64">
              <w:rPr>
                <w:rFonts w:ascii="Times New Roman" w:hAnsi="Times New Roman" w:cs="Times New Roman"/>
              </w:rPr>
              <w:t>)</w:t>
            </w:r>
          </w:p>
        </w:tc>
      </w:tr>
      <w:tr w:rsidR="004D05B6" w:rsidRPr="00DF1F64" w:rsidTr="00DF6B53">
        <w:trPr>
          <w:trHeight w:val="218"/>
        </w:trPr>
        <w:tc>
          <w:tcPr>
            <w:tcW w:w="1276" w:type="dxa"/>
            <w:vMerge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Strona internetowa, pr</w:t>
            </w:r>
            <w:r w:rsidR="0089352B">
              <w:rPr>
                <w:rFonts w:ascii="Times New Roman" w:hAnsi="Times New Roman" w:cs="Times New Roman"/>
              </w:rPr>
              <w:t xml:space="preserve">ofil w mediach </w:t>
            </w:r>
            <w:proofErr w:type="spellStart"/>
            <w:r w:rsidR="0089352B">
              <w:rPr>
                <w:rFonts w:ascii="Times New Roman" w:hAnsi="Times New Roman" w:cs="Times New Roman"/>
              </w:rPr>
              <w:t>społecznościowych</w:t>
            </w:r>
            <w:proofErr w:type="spellEnd"/>
            <w:r w:rsidRPr="00DF1F64">
              <w:rPr>
                <w:rFonts w:ascii="Times New Roman" w:hAnsi="Times New Roman" w:cs="Times New Roman"/>
              </w:rPr>
              <w:t>, strony internetowe podmiotów z obszaru LSR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artykułów opublikowanych na stronie informujących o efektach realizacji, Jednostka miary: artykuł</w:t>
            </w:r>
            <w:r w:rsidR="00DF1F64">
              <w:rPr>
                <w:rFonts w:ascii="Times New Roman" w:hAnsi="Times New Roman" w:cs="Times New Roman"/>
              </w:rPr>
              <w:t xml:space="preserve"> (50</w:t>
            </w:r>
            <w:r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upowszechnianie informacji na temat efektów realizacji LSR</w:t>
            </w:r>
          </w:p>
        </w:tc>
        <w:tc>
          <w:tcPr>
            <w:tcW w:w="2297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D05B6" w:rsidRPr="00DF1F64" w:rsidTr="00DF6B53">
        <w:trPr>
          <w:trHeight w:val="218"/>
        </w:trPr>
        <w:tc>
          <w:tcPr>
            <w:tcW w:w="1276" w:type="dxa"/>
            <w:vMerge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Komunikacja bezpośrednia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imprez w gminach z obszaru </w:t>
            </w:r>
            <w:r w:rsidR="00DF1F64">
              <w:rPr>
                <w:rFonts w:ascii="Times New Roman" w:hAnsi="Times New Roman" w:cs="Times New Roman"/>
              </w:rPr>
              <w:lastRenderedPageBreak/>
              <w:t>LSR promujących</w:t>
            </w:r>
            <w:r w:rsidRPr="00DF1F64">
              <w:rPr>
                <w:rFonts w:ascii="Times New Roman" w:hAnsi="Times New Roman" w:cs="Times New Roman"/>
              </w:rPr>
              <w:t xml:space="preserve"> LGD</w:t>
            </w:r>
          </w:p>
          <w:p w:rsidR="004D05B6" w:rsidRPr="00DF1F64" w:rsidRDefault="00DF1F64" w:rsidP="00DF6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miary: impreza (14</w:t>
            </w:r>
            <w:r w:rsidR="004D05B6"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 xml:space="preserve">zwiększenie rozpoznawalności LGD </w:t>
            </w:r>
            <w:r w:rsidRPr="00DF1F64">
              <w:rPr>
                <w:rFonts w:ascii="Times New Roman" w:hAnsi="Times New Roman" w:cs="Times New Roman"/>
              </w:rPr>
              <w:lastRenderedPageBreak/>
              <w:t>i poinformowanie o efektach realizacji LSR</w:t>
            </w:r>
          </w:p>
        </w:tc>
        <w:tc>
          <w:tcPr>
            <w:tcW w:w="2297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D05B6" w:rsidRPr="00DF1F64" w:rsidTr="00DF6B53">
        <w:trPr>
          <w:trHeight w:val="218"/>
        </w:trPr>
        <w:tc>
          <w:tcPr>
            <w:tcW w:w="1276" w:type="dxa"/>
            <w:vMerge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Monitoring i ewaluacja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raportów ewaluacyjnych,</w:t>
            </w:r>
          </w:p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raport ewaluacyjny(6)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o stanie wdrażania LSR</w:t>
            </w:r>
          </w:p>
        </w:tc>
        <w:tc>
          <w:tcPr>
            <w:tcW w:w="2297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D05B6" w:rsidRPr="00DF1F64" w:rsidTr="00DF6B53">
        <w:trPr>
          <w:trHeight w:val="1697"/>
        </w:trPr>
        <w:tc>
          <w:tcPr>
            <w:tcW w:w="1276" w:type="dxa"/>
            <w:vMerge w:val="restart"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2024-2029</w:t>
            </w:r>
          </w:p>
        </w:tc>
        <w:tc>
          <w:tcPr>
            <w:tcW w:w="1531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Poinformowanie potencjalnych wnioskodawców o zasadach przyznawania dofinansowania, typach operacji oraz kryteriach oceny. Animowanie społeczności do wdrażania innowacji. Przygotowanie beneficjentów do poprawnego wypełniania dokumentacji </w:t>
            </w:r>
            <w:r w:rsidRPr="00DF1F64">
              <w:rPr>
                <w:rFonts w:ascii="Times New Roman" w:hAnsi="Times New Roman" w:cs="Times New Roman"/>
              </w:rPr>
              <w:lastRenderedPageBreak/>
              <w:t>konkursowej.</w:t>
            </w:r>
          </w:p>
        </w:tc>
        <w:tc>
          <w:tcPr>
            <w:tcW w:w="1843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 xml:space="preserve">Kompleksowa obsługa projektów </w:t>
            </w:r>
          </w:p>
        </w:tc>
        <w:tc>
          <w:tcPr>
            <w:tcW w:w="2013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Mieszkańcy obszaru LGD, organizacje pozarządowe, JST, przedsiębiorcy</w:t>
            </w: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Szkolenie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szkoleń dla potencjalnych beneficjentów,</w:t>
            </w:r>
          </w:p>
          <w:p w:rsidR="004D05B6" w:rsidRPr="00DF1F64" w:rsidRDefault="00DF1F64" w:rsidP="00DF6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miary: szkolenie (14</w:t>
            </w:r>
            <w:r w:rsidR="004D05B6"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potencjalnych beneficjentów o sposobach przygotowania operacji innowacyjnych zgodnych z LSR</w:t>
            </w:r>
          </w:p>
        </w:tc>
        <w:tc>
          <w:tcPr>
            <w:tcW w:w="2297" w:type="dxa"/>
            <w:vMerge w:val="restart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45 000 EUR</w:t>
            </w:r>
          </w:p>
          <w:p w:rsidR="004D05B6" w:rsidRPr="00DF1F64" w:rsidRDefault="004D05B6" w:rsidP="00DF6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1F64">
              <w:rPr>
                <w:rFonts w:ascii="Times New Roman" w:hAnsi="Times New Roman" w:cs="Times New Roman"/>
                <w:sz w:val="22"/>
                <w:szCs w:val="22"/>
              </w:rPr>
              <w:t>Organizacja spotkań (wynajem sal, sprzętu, opłata za przejazd, pobyt uczestników, catering, koszty wykładowców/koordynatorów, koszty organizacyjne), utrzymanie strony internetowej (domena i hosting),</w:t>
            </w:r>
          </w:p>
          <w:p w:rsidR="004D05B6" w:rsidRPr="00DF1F64" w:rsidRDefault="004D05B6" w:rsidP="00DF6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1F64">
              <w:rPr>
                <w:rFonts w:ascii="Times New Roman" w:hAnsi="Times New Roman" w:cs="Times New Roman"/>
                <w:sz w:val="22"/>
                <w:szCs w:val="22"/>
              </w:rPr>
              <w:t>koszt publikacji w mediach,</w:t>
            </w:r>
            <w:r w:rsidR="00F57119" w:rsidRPr="00DF1F64">
              <w:rPr>
                <w:rFonts w:ascii="Times New Roman" w:hAnsi="Times New Roman" w:cs="Times New Roman"/>
                <w:sz w:val="22"/>
                <w:szCs w:val="22"/>
              </w:rPr>
              <w:t xml:space="preserve"> (EFRROW)</w:t>
            </w:r>
          </w:p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5B6" w:rsidRPr="00DF1F64" w:rsidTr="00DF6B53">
        <w:trPr>
          <w:trHeight w:val="1696"/>
        </w:trPr>
        <w:tc>
          <w:tcPr>
            <w:tcW w:w="1276" w:type="dxa"/>
            <w:vMerge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Spotkanie informacyjne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spotkań dla mieszkańców gmin z obszaru LSR,</w:t>
            </w:r>
          </w:p>
          <w:p w:rsidR="004D05B6" w:rsidRPr="00DF1F64" w:rsidRDefault="00DF1F64" w:rsidP="00DF6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miary: spotkanie (21</w:t>
            </w:r>
            <w:r w:rsidR="004D05B6"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mieszkańców obszaru o możliwości realizacji operacji innowacyjnych w ramach wdrażania LSR</w:t>
            </w:r>
          </w:p>
        </w:tc>
        <w:tc>
          <w:tcPr>
            <w:tcW w:w="2297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D05B6" w:rsidRPr="00DF1F64" w:rsidTr="00DF6B53">
        <w:trPr>
          <w:trHeight w:val="1696"/>
        </w:trPr>
        <w:tc>
          <w:tcPr>
            <w:tcW w:w="1276" w:type="dxa"/>
            <w:vMerge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Strona internetowa, profil w mediach </w:t>
            </w:r>
            <w:proofErr w:type="spellStart"/>
            <w:r w:rsidRPr="00DF1F64">
              <w:rPr>
                <w:rFonts w:ascii="Times New Roman" w:hAnsi="Times New Roman" w:cs="Times New Roman"/>
              </w:rPr>
              <w:t>społecznościowych</w:t>
            </w:r>
            <w:proofErr w:type="spellEnd"/>
            <w:r w:rsidRPr="00DF1F64">
              <w:rPr>
                <w:rFonts w:ascii="Times New Roman" w:hAnsi="Times New Roman" w:cs="Times New Roman"/>
              </w:rPr>
              <w:t>, strony internetowe podmiotów z obszaru LSR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artykułów opublikowanych na stronie informujących o innowacyjnych operacjach w ramach realizacji LSR, Jednostka miary: artykuł (14)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upowszechnianie informacji na temat innowacji implementowanych na obszarze LSR</w:t>
            </w:r>
          </w:p>
        </w:tc>
        <w:tc>
          <w:tcPr>
            <w:tcW w:w="2297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D05B6" w:rsidRPr="00DF1F64" w:rsidTr="00DF6B53">
        <w:trPr>
          <w:trHeight w:val="1696"/>
        </w:trPr>
        <w:tc>
          <w:tcPr>
            <w:tcW w:w="1276" w:type="dxa"/>
            <w:vMerge/>
            <w:vAlign w:val="center"/>
          </w:tcPr>
          <w:p w:rsidR="004D05B6" w:rsidRPr="00DF1F64" w:rsidRDefault="004D05B6" w:rsidP="00DF6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Komunikacja bezpośrednia, telefon, e-mail, komunikatory internetowe</w:t>
            </w:r>
          </w:p>
        </w:tc>
        <w:tc>
          <w:tcPr>
            <w:tcW w:w="1984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porad udzielonych potencjalnym beneficjentom, Jednostka miary: porada (350)</w:t>
            </w:r>
          </w:p>
        </w:tc>
        <w:tc>
          <w:tcPr>
            <w:tcW w:w="2410" w:type="dxa"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zachęcenie potencjalnych beneficjentów do realizacji operacji innowacyjnych</w:t>
            </w:r>
          </w:p>
        </w:tc>
        <w:tc>
          <w:tcPr>
            <w:tcW w:w="2297" w:type="dxa"/>
            <w:vMerge/>
          </w:tcPr>
          <w:p w:rsidR="004D05B6" w:rsidRPr="00DF1F64" w:rsidRDefault="004D05B6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75"/>
        </w:trPr>
        <w:tc>
          <w:tcPr>
            <w:tcW w:w="1276" w:type="dxa"/>
            <w:vMerge w:val="restart"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>2024-2029</w:t>
            </w:r>
          </w:p>
        </w:tc>
        <w:tc>
          <w:tcPr>
            <w:tcW w:w="1531" w:type="dxa"/>
            <w:vMerge w:val="restart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Wsparcie osób w niekorzystnej sytuacji: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Kobiet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Osób niepełnosprawnych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Osób młodych poniżej 25rż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Osób powyżej 60 </w:t>
            </w:r>
            <w:proofErr w:type="spellStart"/>
            <w:r w:rsidRPr="00DF1F64">
              <w:rPr>
                <w:rFonts w:ascii="Times New Roman" w:hAnsi="Times New Roman" w:cs="Times New Roman"/>
              </w:rPr>
              <w:t>rż</w:t>
            </w:r>
            <w:proofErr w:type="spellEnd"/>
          </w:p>
        </w:tc>
        <w:tc>
          <w:tcPr>
            <w:tcW w:w="1843" w:type="dxa"/>
            <w:vMerge w:val="restart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Wsparcie grup w niekorzystnej sytuacji</w:t>
            </w:r>
          </w:p>
        </w:tc>
        <w:tc>
          <w:tcPr>
            <w:tcW w:w="2013" w:type="dxa"/>
            <w:vMerge w:val="restart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Osoba do 25 r. ż</w:t>
            </w: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Strona internetowa, profil w mediach </w:t>
            </w:r>
            <w:proofErr w:type="spellStart"/>
            <w:r w:rsidRPr="00DF1F64">
              <w:rPr>
                <w:rFonts w:ascii="Times New Roman" w:hAnsi="Times New Roman" w:cs="Times New Roman"/>
              </w:rPr>
              <w:t>społecznościowych</w:t>
            </w:r>
            <w:proofErr w:type="spellEnd"/>
            <w:r w:rsidRPr="00DF1F64">
              <w:rPr>
                <w:rFonts w:ascii="Times New Roman" w:hAnsi="Times New Roman" w:cs="Times New Roman"/>
              </w:rPr>
              <w:t>, strony internetowe podmiotów z obszaru LSR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artykułów opublikowanych na stronie informujących o operacjach aktywizujących osoby mło</w:t>
            </w:r>
            <w:r w:rsidR="00DF1F64">
              <w:rPr>
                <w:rFonts w:ascii="Times New Roman" w:hAnsi="Times New Roman" w:cs="Times New Roman"/>
              </w:rPr>
              <w:t>de, Jednostka miary: artykuł (20</w:t>
            </w:r>
            <w:r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upowszechnianie informacji na temat zaangażowania osób młodych w realizację LSR</w:t>
            </w:r>
          </w:p>
        </w:tc>
        <w:tc>
          <w:tcPr>
            <w:tcW w:w="2297" w:type="dxa"/>
            <w:vMerge w:val="restart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F1F64">
              <w:rPr>
                <w:rFonts w:ascii="Times New Roman" w:hAnsi="Times New Roman" w:cs="Times New Roman"/>
              </w:rPr>
              <w:t>25 000 EUR</w:t>
            </w:r>
          </w:p>
          <w:p w:rsidR="00402275" w:rsidRPr="00DF1F64" w:rsidRDefault="00402275" w:rsidP="00DF6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1F64">
              <w:rPr>
                <w:rFonts w:ascii="Times New Roman" w:hAnsi="Times New Roman" w:cs="Times New Roman"/>
                <w:sz w:val="22"/>
                <w:szCs w:val="22"/>
              </w:rPr>
              <w:t>Organizacja spotkań (wynajem sal, sprzętu, opłata za przejazd, pobyt uczestników, catering, koszty wykładowców/koordynatorów, koszty organizacyjne), utrzymanie strony internetowej (domena i hosting),</w:t>
            </w:r>
          </w:p>
          <w:p w:rsidR="00402275" w:rsidRPr="00DF1F64" w:rsidRDefault="00402275" w:rsidP="00DF6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1F64">
              <w:rPr>
                <w:rFonts w:ascii="Times New Roman" w:hAnsi="Times New Roman" w:cs="Times New Roman"/>
                <w:sz w:val="22"/>
                <w:szCs w:val="22"/>
              </w:rPr>
              <w:t>koszt publikacji w mediach,</w:t>
            </w:r>
            <w:r w:rsidR="00F57119" w:rsidRPr="00DF1F64">
              <w:rPr>
                <w:rFonts w:ascii="Times New Roman" w:hAnsi="Times New Roman" w:cs="Times New Roman"/>
                <w:sz w:val="22"/>
                <w:szCs w:val="22"/>
              </w:rPr>
              <w:t xml:space="preserve"> (EFRROW</w:t>
            </w:r>
            <w:r w:rsidR="008E30FD" w:rsidRPr="00DF1F64">
              <w:rPr>
                <w:rFonts w:ascii="Times New Roman" w:hAnsi="Times New Roman" w:cs="Times New Roman"/>
                <w:sz w:val="22"/>
                <w:szCs w:val="22"/>
              </w:rPr>
              <w:t xml:space="preserve"> – 23 000,00; EFS+ 1 000,00 EFRR – 1 000,00</w:t>
            </w:r>
            <w:r w:rsidR="00F57119" w:rsidRPr="00DF1F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73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Spotkania informacyjne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spotkań dla organizacji działających na rzecz osób młodych w gminach obszaru LGD,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spotkanie (8)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mieszkańców obszaru LSR o możliwości realizacji działań na rzecz osób młodych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73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Strona internetowa, profil w mediach </w:t>
            </w:r>
            <w:proofErr w:type="spellStart"/>
            <w:r w:rsidRPr="00DF1F64">
              <w:rPr>
                <w:rFonts w:ascii="Times New Roman" w:hAnsi="Times New Roman" w:cs="Times New Roman"/>
              </w:rPr>
              <w:t>społecznościowych</w:t>
            </w:r>
            <w:proofErr w:type="spellEnd"/>
            <w:r w:rsidRPr="00DF1F64">
              <w:rPr>
                <w:rFonts w:ascii="Times New Roman" w:hAnsi="Times New Roman" w:cs="Times New Roman"/>
              </w:rPr>
              <w:t>, strony internetowe podmiotów z obszaru LSR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konkursów na najlepszą inicjatywę aktywizującą ludzi młodych na obszarze LSR, Jednostka miary: konkurs (1)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zachęcenie mieszkańców obszaru LSR do realizacji inicjatyw na rzecz aktywizacji młodych osób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147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Osoba powyżej 60 </w:t>
            </w:r>
            <w:proofErr w:type="spellStart"/>
            <w:r w:rsidRPr="00DF1F64">
              <w:rPr>
                <w:rFonts w:ascii="Times New Roman" w:hAnsi="Times New Roman" w:cs="Times New Roman"/>
              </w:rPr>
              <w:t>r.ż</w:t>
            </w:r>
            <w:proofErr w:type="spellEnd"/>
            <w:r w:rsidRPr="00DF1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Strona internetowa, profil w mediach </w:t>
            </w:r>
            <w:proofErr w:type="spellStart"/>
            <w:r w:rsidRPr="00DF1F64">
              <w:rPr>
                <w:rFonts w:ascii="Times New Roman" w:hAnsi="Times New Roman" w:cs="Times New Roman"/>
              </w:rPr>
              <w:t>społecznościowych</w:t>
            </w:r>
            <w:proofErr w:type="spellEnd"/>
            <w:r w:rsidRPr="00DF1F64">
              <w:rPr>
                <w:rFonts w:ascii="Times New Roman" w:hAnsi="Times New Roman" w:cs="Times New Roman"/>
              </w:rPr>
              <w:t xml:space="preserve">, strony internetowe </w:t>
            </w:r>
            <w:r w:rsidRPr="00DF1F64">
              <w:rPr>
                <w:rFonts w:ascii="Times New Roman" w:hAnsi="Times New Roman" w:cs="Times New Roman"/>
              </w:rPr>
              <w:lastRenderedPageBreak/>
              <w:t>podmiotów z obszaru LSR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 xml:space="preserve">Liczba artykułów opublikowanych na stronie informujących o operacjach </w:t>
            </w:r>
            <w:r w:rsidRPr="00DF1F64">
              <w:rPr>
                <w:rFonts w:ascii="Times New Roman" w:hAnsi="Times New Roman" w:cs="Times New Roman"/>
              </w:rPr>
              <w:lastRenderedPageBreak/>
              <w:t>aktywizujących seniorów, Jednostka miary: artykuł (14)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>upowszechnianie informacji na temat zaangażowania seniorów w realizację LSR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147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Spotkania informacyjne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spotkań dla organizacji działających na rzecz seniorów w gminach obszaru LGD,</w:t>
            </w:r>
          </w:p>
          <w:p w:rsidR="00402275" w:rsidRPr="00DF1F64" w:rsidRDefault="00DF1F64" w:rsidP="00DF6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miary: spotkanie (7</w:t>
            </w:r>
            <w:r w:rsidR="00402275"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mieszkańców obszaru LSR o możliwości realizacji działań na rzecz seniorów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147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Plakat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plakatów informujących o możliwości realizacji operacji na rzecz osób starszych wywieszonych w siedzibach podmiotów działających na obszarze LSR, </w:t>
            </w:r>
          </w:p>
          <w:p w:rsidR="00402275" w:rsidRPr="00DF1F64" w:rsidRDefault="00DF1F64" w:rsidP="00DF6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miary: plakat (28</w:t>
            </w:r>
            <w:r w:rsidR="00402275"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mieszkańców obszaru LSR o możliwości realizacji działań na rzecz seniorów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545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Osoby w niekorzystnej sytuacji, organizacje pozarządowe</w:t>
            </w: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Strona internetowa, profil w mediach </w:t>
            </w:r>
            <w:proofErr w:type="spellStart"/>
            <w:r w:rsidRPr="00DF1F64">
              <w:rPr>
                <w:rFonts w:ascii="Times New Roman" w:hAnsi="Times New Roman" w:cs="Times New Roman"/>
              </w:rPr>
              <w:t>społecznościowych</w:t>
            </w:r>
            <w:proofErr w:type="spellEnd"/>
            <w:r w:rsidRPr="00DF1F64">
              <w:rPr>
                <w:rFonts w:ascii="Times New Roman" w:hAnsi="Times New Roman" w:cs="Times New Roman"/>
              </w:rPr>
              <w:t>, strony internetowe podmiotów z obszaru LSR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artykułów opublikowanych na stronie informujących o operacjach na rzecz kobiet, Jednostka miary: artykuł (14)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upowszechnianie informacji na temat wsparcia udzielonego osobom z grupy w niekorzystnej sytuacji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331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Spotkania informacyjne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spotkań dla organizacji działających na rzecz kobiet  w </w:t>
            </w:r>
            <w:r w:rsidRPr="00DF1F64">
              <w:rPr>
                <w:rFonts w:ascii="Times New Roman" w:hAnsi="Times New Roman" w:cs="Times New Roman"/>
              </w:rPr>
              <w:lastRenderedPageBreak/>
              <w:t>gminach obszaru LGD,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spotkanie (8)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 xml:space="preserve">poinformowanie mieszkańców obszaru LSR o możliwości realizacji działań na </w:t>
            </w:r>
            <w:r w:rsidRPr="00DF1F64">
              <w:rPr>
                <w:rFonts w:ascii="Times New Roman" w:hAnsi="Times New Roman" w:cs="Times New Roman"/>
              </w:rPr>
              <w:lastRenderedPageBreak/>
              <w:t>rzecz osób z grupy w niekorzystnej sytuacji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402275" w:rsidRPr="00DF1F64" w:rsidTr="00DF6B53">
        <w:trPr>
          <w:trHeight w:val="331"/>
        </w:trPr>
        <w:tc>
          <w:tcPr>
            <w:tcW w:w="1276" w:type="dxa"/>
            <w:vMerge/>
            <w:vAlign w:val="center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Plakat</w:t>
            </w:r>
          </w:p>
        </w:tc>
        <w:tc>
          <w:tcPr>
            <w:tcW w:w="1984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plakatów informujących o możliwości realizacji operacji na rzecz osób z grupy w niekorzystnej sytuacji wywieszonych w siedzibach podmiotów działających na obszarze LSR, </w:t>
            </w:r>
          </w:p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plakat</w:t>
            </w:r>
            <w:r w:rsidR="00DF1F64">
              <w:rPr>
                <w:rFonts w:ascii="Times New Roman" w:hAnsi="Times New Roman" w:cs="Times New Roman"/>
              </w:rPr>
              <w:t xml:space="preserve"> (28</w:t>
            </w:r>
            <w:r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mieszkańców obszaru LSR o możliwości realizacji działań na rzecz osób z grupy w niekorzystnej sytuacji</w:t>
            </w:r>
          </w:p>
        </w:tc>
        <w:tc>
          <w:tcPr>
            <w:tcW w:w="2297" w:type="dxa"/>
            <w:vMerge/>
          </w:tcPr>
          <w:p w:rsidR="00402275" w:rsidRPr="00DF1F64" w:rsidRDefault="00402275" w:rsidP="00DF6B53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343"/>
        </w:trPr>
        <w:tc>
          <w:tcPr>
            <w:tcW w:w="1276" w:type="dxa"/>
            <w:vMerge w:val="restart"/>
            <w:vAlign w:val="center"/>
          </w:tcPr>
          <w:p w:rsidR="00F60F9C" w:rsidRPr="00DF1F64" w:rsidRDefault="00F60F9C" w:rsidP="000C4543">
            <w:pPr>
              <w:jc w:val="center"/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2024-202</w:t>
            </w:r>
            <w:r w:rsidR="000C4543" w:rsidRPr="00DF1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  <w:vMerge w:val="restart"/>
          </w:tcPr>
          <w:p w:rsidR="00F60F9C" w:rsidRPr="00DF1F64" w:rsidRDefault="008577D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Motywowanie do wspólnego działania na rzecz rozwoju obszaru</w:t>
            </w:r>
          </w:p>
        </w:tc>
        <w:tc>
          <w:tcPr>
            <w:tcW w:w="1843" w:type="dxa"/>
            <w:vMerge w:val="restart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  <w:bCs/>
              </w:rPr>
              <w:t>Wzmacnianie partnerstwa i współpracy</w:t>
            </w:r>
          </w:p>
        </w:tc>
        <w:tc>
          <w:tcPr>
            <w:tcW w:w="2013" w:type="dxa"/>
            <w:vMerge w:val="restart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Członkowie LGD</w:t>
            </w:r>
          </w:p>
        </w:tc>
        <w:tc>
          <w:tcPr>
            <w:tcW w:w="1956" w:type="dxa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1984" w:type="dxa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newsletterów wysyłanych do członków stowarzyszenia</w:t>
            </w:r>
            <w:r w:rsidR="00DF1F64">
              <w:rPr>
                <w:rFonts w:ascii="Times New Roman" w:hAnsi="Times New Roman" w:cs="Times New Roman"/>
              </w:rPr>
              <w:t xml:space="preserve">, jednostka miary: </w:t>
            </w:r>
            <w:proofErr w:type="spellStart"/>
            <w:r w:rsidR="00DF1F64">
              <w:rPr>
                <w:rFonts w:ascii="Times New Roman" w:hAnsi="Times New Roman" w:cs="Times New Roman"/>
              </w:rPr>
              <w:t>newsletter</w:t>
            </w:r>
            <w:proofErr w:type="spellEnd"/>
            <w:r w:rsidR="00DF1F64">
              <w:rPr>
                <w:rFonts w:ascii="Times New Roman" w:hAnsi="Times New Roman" w:cs="Times New Roman"/>
              </w:rPr>
              <w:t xml:space="preserve"> (10</w:t>
            </w:r>
            <w:r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upowszechnienie wśród członków LGD wiedzy na temat działań podejmowanych przez Stowarzyszenie</w:t>
            </w:r>
          </w:p>
        </w:tc>
        <w:tc>
          <w:tcPr>
            <w:tcW w:w="2297" w:type="dxa"/>
            <w:vMerge w:val="restart"/>
          </w:tcPr>
          <w:p w:rsidR="000C4543" w:rsidRPr="00DF1F64" w:rsidRDefault="000C4543" w:rsidP="000C4543">
            <w:pPr>
              <w:jc w:val="center"/>
              <w:rPr>
                <w:rFonts w:ascii="Times New Roman" w:hAnsi="Times New Roman" w:cs="Times New Roman"/>
              </w:rPr>
            </w:pPr>
          </w:p>
          <w:p w:rsidR="000C4543" w:rsidRPr="00DF1F64" w:rsidRDefault="000C4543" w:rsidP="000C4543">
            <w:pPr>
              <w:jc w:val="center"/>
              <w:rPr>
                <w:rFonts w:ascii="Times New Roman" w:hAnsi="Times New Roman" w:cs="Times New Roman"/>
              </w:rPr>
            </w:pPr>
          </w:p>
          <w:p w:rsidR="000C4543" w:rsidRPr="00DF1F64" w:rsidRDefault="000C4543" w:rsidP="000C4543">
            <w:pPr>
              <w:jc w:val="center"/>
              <w:rPr>
                <w:rFonts w:ascii="Times New Roman" w:hAnsi="Times New Roman" w:cs="Times New Roman"/>
              </w:rPr>
            </w:pPr>
          </w:p>
          <w:p w:rsidR="00F60F9C" w:rsidRPr="00DF1F64" w:rsidRDefault="000C4543" w:rsidP="00F90CA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15 000 EUR</w:t>
            </w:r>
          </w:p>
          <w:p w:rsidR="000C4543" w:rsidRPr="00DF1F64" w:rsidRDefault="000C4543" w:rsidP="00F90C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1F64">
              <w:rPr>
                <w:rFonts w:ascii="Times New Roman" w:hAnsi="Times New Roman" w:cs="Times New Roman"/>
                <w:sz w:val="22"/>
                <w:szCs w:val="22"/>
              </w:rPr>
              <w:t>Organizacja spotkań (wynajem sal, sprzętu, opłata za przejazd, pobyt uczestników, catering, koszty wykładowców/koordynatorów, koszty organizacyjne), utrzymanie strony internetowej (domena i hosting),</w:t>
            </w:r>
          </w:p>
          <w:p w:rsidR="000C4543" w:rsidRPr="00DF1F64" w:rsidRDefault="000C4543" w:rsidP="00F90C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1F64">
              <w:rPr>
                <w:rFonts w:ascii="Times New Roman" w:hAnsi="Times New Roman" w:cs="Times New Roman"/>
                <w:sz w:val="22"/>
                <w:szCs w:val="22"/>
              </w:rPr>
              <w:t xml:space="preserve">koszt publikacji w mediach, </w:t>
            </w:r>
            <w:r w:rsidR="00F57119" w:rsidRPr="00DF1F64">
              <w:rPr>
                <w:rFonts w:ascii="Times New Roman" w:hAnsi="Times New Roman" w:cs="Times New Roman"/>
                <w:sz w:val="22"/>
                <w:szCs w:val="22"/>
              </w:rPr>
              <w:t>(EFRROW</w:t>
            </w:r>
            <w:r w:rsidR="008E30FD" w:rsidRPr="00DF1F6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8E30FD" w:rsidRPr="00DF1F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13 000,00; EFS+ - 1 000,000; EFRR – 1 000,00 </w:t>
            </w:r>
            <w:r w:rsidR="00F57119" w:rsidRPr="00DF1F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C4543" w:rsidRPr="00DF1F64" w:rsidRDefault="000C4543" w:rsidP="000C4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95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Komunikacja bezpośrednia</w:t>
            </w:r>
          </w:p>
        </w:tc>
        <w:tc>
          <w:tcPr>
            <w:tcW w:w="1984" w:type="dxa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zrealizowanych warsztatów refleksyjny</w:t>
            </w:r>
            <w:r w:rsidR="00DF1F64">
              <w:rPr>
                <w:rFonts w:ascii="Times New Roman" w:hAnsi="Times New Roman" w:cs="Times New Roman"/>
              </w:rPr>
              <w:t>ch, jednostka miary: warsztat (6</w:t>
            </w:r>
            <w:r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60F9C" w:rsidRPr="00DF1F64" w:rsidRDefault="00F60F9C" w:rsidP="00644B73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zaangażowanie członków LGD w ewaluację działań Stowarzyszenia oraz wypracowanie nowych pomysłów na działania</w:t>
            </w: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95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Fiszki z pomysłami na działania</w:t>
            </w:r>
          </w:p>
        </w:tc>
        <w:tc>
          <w:tcPr>
            <w:tcW w:w="1984" w:type="dxa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rocznych raportów podsumowujących pomysły zgłoszone </w:t>
            </w:r>
            <w:r w:rsidRPr="00DF1F64">
              <w:rPr>
                <w:rFonts w:ascii="Times New Roman" w:hAnsi="Times New Roman" w:cs="Times New Roman"/>
              </w:rPr>
              <w:lastRenderedPageBreak/>
              <w:t>przez członków LGD, jednostka miary: raport (7)</w:t>
            </w:r>
          </w:p>
        </w:tc>
        <w:tc>
          <w:tcPr>
            <w:tcW w:w="2410" w:type="dxa"/>
          </w:tcPr>
          <w:p w:rsidR="00F60F9C" w:rsidRPr="00DF1F64" w:rsidRDefault="00F60F9C" w:rsidP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 xml:space="preserve">włączenie członków LGD w poszukiwanie nowych sposobów działania </w:t>
            </w:r>
            <w:r w:rsidRPr="00DF1F64">
              <w:rPr>
                <w:rFonts w:ascii="Times New Roman" w:hAnsi="Times New Roman" w:cs="Times New Roman"/>
              </w:rPr>
              <w:lastRenderedPageBreak/>
              <w:t>Stowarzyszenia</w:t>
            </w:r>
          </w:p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220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 w:val="restart"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Mieszkańcy obszaru LGD, organizacje pozarządowe, JST, przedsiębiorcy</w:t>
            </w:r>
          </w:p>
        </w:tc>
        <w:tc>
          <w:tcPr>
            <w:tcW w:w="1956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Strona internetowa, profil w mediach społecznościowych, strony internetowe podmiotów z obszaru LSR</w:t>
            </w:r>
          </w:p>
        </w:tc>
        <w:tc>
          <w:tcPr>
            <w:tcW w:w="1984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artykułów informujących o zapisach LSR opublikowanych na stronie internetowej </w:t>
            </w:r>
            <w:r w:rsidR="00DF1F64">
              <w:rPr>
                <w:rFonts w:ascii="Times New Roman" w:hAnsi="Times New Roman" w:cs="Times New Roman"/>
              </w:rPr>
              <w:t>LGD, Jednostka miary: artykuł (2</w:t>
            </w:r>
            <w:r w:rsidRPr="00DF1F64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2410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mieszkańców o zapisach LSR i efektach realizacji LSR</w:t>
            </w: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218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Ankieta</w:t>
            </w:r>
          </w:p>
        </w:tc>
        <w:tc>
          <w:tcPr>
            <w:tcW w:w="1984" w:type="dxa"/>
          </w:tcPr>
          <w:p w:rsidR="00741A2E" w:rsidRPr="00DF1F64" w:rsidRDefault="00741A2E" w:rsidP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ankiet wypełnionych przez mieszkańców obszaru,</w:t>
            </w:r>
          </w:p>
          <w:p w:rsidR="00F60F9C" w:rsidRPr="00DF1F64" w:rsidRDefault="00DF1F64" w:rsidP="00741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miary: ankieta (75</w:t>
            </w:r>
            <w:r w:rsidR="00741A2E"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pozyskanie informacji zwrotnej na temat działań LGD</w:t>
            </w: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218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Fiszki z pomysłami na działania</w:t>
            </w:r>
          </w:p>
        </w:tc>
        <w:tc>
          <w:tcPr>
            <w:tcW w:w="1984" w:type="dxa"/>
          </w:tcPr>
          <w:p w:rsidR="00741A2E" w:rsidRPr="00DF1F64" w:rsidRDefault="00741A2E" w:rsidP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rocznych raportów podsumowujących pomysły zgłoszone przez mieszkańców obszaru nie będących członkami LGD,</w:t>
            </w:r>
          </w:p>
          <w:p w:rsidR="00F60F9C" w:rsidRPr="00DF1F64" w:rsidRDefault="00741A2E" w:rsidP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raport (7)</w:t>
            </w:r>
          </w:p>
        </w:tc>
        <w:tc>
          <w:tcPr>
            <w:tcW w:w="2410" w:type="dxa"/>
          </w:tcPr>
          <w:p w:rsidR="00741A2E" w:rsidRPr="00DF1F64" w:rsidRDefault="00741A2E" w:rsidP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włączenie mieszkańców obszaru LGD w poszukiwanie nowych sposobów działania Stowarzyszenia</w:t>
            </w:r>
          </w:p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218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Komunikacja bezpośrednia, telefon, e-mail, komunikatory internetowe</w:t>
            </w:r>
          </w:p>
        </w:tc>
        <w:tc>
          <w:tcPr>
            <w:tcW w:w="1984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porad udzielonych potencjalnym beneficjentom, </w:t>
            </w:r>
            <w:r w:rsidR="00DF1F64">
              <w:rPr>
                <w:rFonts w:ascii="Times New Roman" w:hAnsi="Times New Roman" w:cs="Times New Roman"/>
              </w:rPr>
              <w:t>Jednostka miary: porada (150</w:t>
            </w:r>
            <w:r w:rsidRPr="00DF1F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60F9C" w:rsidRPr="00DF1F64" w:rsidRDefault="00F30662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zachęcenie potencjalnych beneficjentów do realizacji projektów partnerskich</w:t>
            </w: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218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Strona internetowa, profil w mediach społecznościowych</w:t>
            </w:r>
          </w:p>
        </w:tc>
        <w:tc>
          <w:tcPr>
            <w:tcW w:w="1984" w:type="dxa"/>
          </w:tcPr>
          <w:p w:rsidR="00741A2E" w:rsidRPr="00DF1F64" w:rsidRDefault="00741A2E" w:rsidP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 xml:space="preserve">Liczba zamieszczonych na stronie internetowej rejestrów </w:t>
            </w:r>
            <w:r w:rsidRPr="00DF1F64">
              <w:rPr>
                <w:rFonts w:ascii="Times New Roman" w:hAnsi="Times New Roman" w:cs="Times New Roman"/>
              </w:rPr>
              <w:lastRenderedPageBreak/>
              <w:t>podmiotów z obszaru LGD zainteresowanych realizacją projektów partnerskich,</w:t>
            </w:r>
          </w:p>
          <w:p w:rsidR="00F60F9C" w:rsidRPr="00DF1F64" w:rsidRDefault="00741A2E" w:rsidP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raport (</w:t>
            </w:r>
            <w:r w:rsidR="00F30662" w:rsidRPr="00DF1F6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410" w:type="dxa"/>
          </w:tcPr>
          <w:p w:rsidR="00F60F9C" w:rsidRPr="00DF1F64" w:rsidRDefault="00F30662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lastRenderedPageBreak/>
              <w:t>ułatwienie podmiotom z obszaru LSR realizacji projektów partnerskich</w:t>
            </w: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  <w:tr w:rsidR="00F60F9C" w:rsidRPr="00DF1F64" w:rsidTr="00FB7359">
        <w:trPr>
          <w:trHeight w:val="218"/>
        </w:trPr>
        <w:tc>
          <w:tcPr>
            <w:tcW w:w="1276" w:type="dxa"/>
            <w:vMerge/>
            <w:vAlign w:val="center"/>
          </w:tcPr>
          <w:p w:rsidR="00F60F9C" w:rsidRPr="00DF1F64" w:rsidRDefault="00F60F9C" w:rsidP="009B6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3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60F9C" w:rsidRPr="00DF1F64" w:rsidRDefault="00741A2E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Szkolenie</w:t>
            </w:r>
          </w:p>
        </w:tc>
        <w:tc>
          <w:tcPr>
            <w:tcW w:w="1984" w:type="dxa"/>
          </w:tcPr>
          <w:p w:rsidR="00F30662" w:rsidRPr="00DF1F64" w:rsidRDefault="00F30662" w:rsidP="00283260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Liczba szkoleń dla potencjalnych beneficjentów,</w:t>
            </w:r>
          </w:p>
          <w:p w:rsidR="00F60F9C" w:rsidRPr="00DF1F64" w:rsidRDefault="00F30662" w:rsidP="00283260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Jednostka miary: szkolenie (7)</w:t>
            </w:r>
          </w:p>
        </w:tc>
        <w:tc>
          <w:tcPr>
            <w:tcW w:w="2410" w:type="dxa"/>
          </w:tcPr>
          <w:p w:rsidR="00F60F9C" w:rsidRPr="00DF1F64" w:rsidRDefault="00F30662">
            <w:pPr>
              <w:rPr>
                <w:rFonts w:ascii="Times New Roman" w:hAnsi="Times New Roman" w:cs="Times New Roman"/>
              </w:rPr>
            </w:pPr>
            <w:r w:rsidRPr="00DF1F64">
              <w:rPr>
                <w:rFonts w:ascii="Times New Roman" w:hAnsi="Times New Roman" w:cs="Times New Roman"/>
              </w:rPr>
              <w:t>poinformowanie potencjalnych beneficjentów o możliwości realizacji projektów partnerskich</w:t>
            </w:r>
          </w:p>
        </w:tc>
        <w:tc>
          <w:tcPr>
            <w:tcW w:w="2297" w:type="dxa"/>
            <w:vMerge/>
          </w:tcPr>
          <w:p w:rsidR="00F60F9C" w:rsidRPr="00DF1F64" w:rsidRDefault="00F60F9C">
            <w:pPr>
              <w:rPr>
                <w:rFonts w:ascii="Times New Roman" w:hAnsi="Times New Roman" w:cs="Times New Roman"/>
              </w:rPr>
            </w:pPr>
          </w:p>
        </w:tc>
      </w:tr>
    </w:tbl>
    <w:p w:rsidR="00CA26D1" w:rsidRPr="00DF1F64" w:rsidRDefault="00CA26D1">
      <w:pPr>
        <w:rPr>
          <w:rFonts w:ascii="Times New Roman" w:hAnsi="Times New Roman" w:cs="Times New Roman"/>
        </w:rPr>
      </w:pPr>
    </w:p>
    <w:p w:rsidR="00CA26D1" w:rsidRPr="00DF1F64" w:rsidRDefault="00CA26D1">
      <w:pPr>
        <w:rPr>
          <w:rFonts w:ascii="Times New Roman" w:hAnsi="Times New Roman" w:cs="Times New Roman"/>
        </w:rPr>
      </w:pPr>
    </w:p>
    <w:p w:rsidR="00741A2E" w:rsidRPr="00DF1F64" w:rsidRDefault="00741A2E">
      <w:pPr>
        <w:rPr>
          <w:rFonts w:ascii="Times New Roman" w:hAnsi="Times New Roman" w:cs="Times New Roman"/>
        </w:rPr>
      </w:pPr>
    </w:p>
    <w:sectPr w:rsidR="00741A2E" w:rsidRPr="00DF1F64" w:rsidSect="00CA26D1">
      <w:headerReference w:type="default" r:id="rId8"/>
      <w:pgSz w:w="16838" w:h="11906" w:orient="landscape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3D" w:rsidRDefault="002F1B3D" w:rsidP="008B0F43">
      <w:pPr>
        <w:spacing w:after="0" w:line="240" w:lineRule="auto"/>
      </w:pPr>
      <w:r>
        <w:separator/>
      </w:r>
    </w:p>
  </w:endnote>
  <w:endnote w:type="continuationSeparator" w:id="0">
    <w:p w:rsidR="002F1B3D" w:rsidRDefault="002F1B3D" w:rsidP="008B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3D" w:rsidRDefault="002F1B3D" w:rsidP="008B0F43">
      <w:pPr>
        <w:spacing w:after="0" w:line="240" w:lineRule="auto"/>
      </w:pPr>
      <w:r>
        <w:separator/>
      </w:r>
    </w:p>
  </w:footnote>
  <w:footnote w:type="continuationSeparator" w:id="0">
    <w:p w:rsidR="002F1B3D" w:rsidRDefault="002F1B3D" w:rsidP="008B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43" w:rsidRDefault="008B0F43">
    <w:pPr>
      <w:pStyle w:val="Nagwek"/>
    </w:pPr>
    <w:r>
      <w:rPr>
        <w:rFonts w:ascii="Arial" w:hAnsi="Arial" w:cs="Arial"/>
        <w:sz w:val="24"/>
        <w:szCs w:val="24"/>
      </w:rPr>
      <w:t xml:space="preserve">Załącznik nr 2 </w:t>
    </w:r>
    <w:r w:rsidRPr="00A424E0">
      <w:rPr>
        <w:rFonts w:ascii="Arial" w:hAnsi="Arial" w:cs="Arial"/>
        <w:sz w:val="24"/>
        <w:szCs w:val="24"/>
      </w:rPr>
      <w:t>Plan komunikacji z lokalną społecznością</w:t>
    </w:r>
    <w:r>
      <w:rPr>
        <w:rFonts w:ascii="Arial" w:hAnsi="Arial" w:cs="Arial"/>
        <w:sz w:val="24"/>
        <w:szCs w:val="24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4C0"/>
    <w:multiLevelType w:val="hybridMultilevel"/>
    <w:tmpl w:val="EC9CD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F5132"/>
    <w:multiLevelType w:val="hybridMultilevel"/>
    <w:tmpl w:val="9B629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C49AB"/>
    <w:multiLevelType w:val="hybridMultilevel"/>
    <w:tmpl w:val="629EA1E0"/>
    <w:lvl w:ilvl="0" w:tplc="5A806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9009D"/>
    <w:multiLevelType w:val="hybridMultilevel"/>
    <w:tmpl w:val="9BA6A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44E67"/>
    <w:multiLevelType w:val="hybridMultilevel"/>
    <w:tmpl w:val="186097DA"/>
    <w:lvl w:ilvl="0" w:tplc="588C5A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347F2"/>
    <w:multiLevelType w:val="hybridMultilevel"/>
    <w:tmpl w:val="F1BA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F1A87"/>
    <w:multiLevelType w:val="hybridMultilevel"/>
    <w:tmpl w:val="E312A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01722"/>
    <w:multiLevelType w:val="hybridMultilevel"/>
    <w:tmpl w:val="4ACA9900"/>
    <w:lvl w:ilvl="0" w:tplc="4B5EB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33581E"/>
    <w:multiLevelType w:val="hybridMultilevel"/>
    <w:tmpl w:val="EFC624F8"/>
    <w:lvl w:ilvl="0" w:tplc="1C3A60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27B85"/>
    <w:multiLevelType w:val="hybridMultilevel"/>
    <w:tmpl w:val="13BEB414"/>
    <w:lvl w:ilvl="0" w:tplc="7DE416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E1C00"/>
    <w:multiLevelType w:val="hybridMultilevel"/>
    <w:tmpl w:val="60A034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749D4"/>
    <w:multiLevelType w:val="hybridMultilevel"/>
    <w:tmpl w:val="E99E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61F0D"/>
    <w:multiLevelType w:val="hybridMultilevel"/>
    <w:tmpl w:val="13285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D0584"/>
    <w:multiLevelType w:val="hybridMultilevel"/>
    <w:tmpl w:val="C7DE1DDE"/>
    <w:lvl w:ilvl="0" w:tplc="70D2B5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DE5"/>
    <w:rsid w:val="00014C84"/>
    <w:rsid w:val="000163F1"/>
    <w:rsid w:val="000A771D"/>
    <w:rsid w:val="000C32B4"/>
    <w:rsid w:val="000C4543"/>
    <w:rsid w:val="000D1F36"/>
    <w:rsid w:val="0013763C"/>
    <w:rsid w:val="00147866"/>
    <w:rsid w:val="0015458A"/>
    <w:rsid w:val="00154A66"/>
    <w:rsid w:val="00157D68"/>
    <w:rsid w:val="001A4B32"/>
    <w:rsid w:val="001B08B0"/>
    <w:rsid w:val="001B20F9"/>
    <w:rsid w:val="0020143D"/>
    <w:rsid w:val="002655BD"/>
    <w:rsid w:val="00283260"/>
    <w:rsid w:val="002F1B3D"/>
    <w:rsid w:val="00394DBE"/>
    <w:rsid w:val="00394E0C"/>
    <w:rsid w:val="003B0423"/>
    <w:rsid w:val="00402275"/>
    <w:rsid w:val="004069AE"/>
    <w:rsid w:val="0040792B"/>
    <w:rsid w:val="004D05B6"/>
    <w:rsid w:val="004F38A1"/>
    <w:rsid w:val="00500C9A"/>
    <w:rsid w:val="00577D03"/>
    <w:rsid w:val="00587CA3"/>
    <w:rsid w:val="00590054"/>
    <w:rsid w:val="005A157D"/>
    <w:rsid w:val="005C468F"/>
    <w:rsid w:val="005E53BB"/>
    <w:rsid w:val="00626A77"/>
    <w:rsid w:val="00644B73"/>
    <w:rsid w:val="00671CE6"/>
    <w:rsid w:val="00685E89"/>
    <w:rsid w:val="006B3865"/>
    <w:rsid w:val="006E38A7"/>
    <w:rsid w:val="006F08AC"/>
    <w:rsid w:val="006F7A6A"/>
    <w:rsid w:val="00741A2E"/>
    <w:rsid w:val="007A3F4E"/>
    <w:rsid w:val="007B385A"/>
    <w:rsid w:val="007E48BC"/>
    <w:rsid w:val="00803742"/>
    <w:rsid w:val="00821ED0"/>
    <w:rsid w:val="008577DC"/>
    <w:rsid w:val="008640CF"/>
    <w:rsid w:val="00873975"/>
    <w:rsid w:val="0089352B"/>
    <w:rsid w:val="008B0F43"/>
    <w:rsid w:val="008B73D7"/>
    <w:rsid w:val="008E30FD"/>
    <w:rsid w:val="008F4A41"/>
    <w:rsid w:val="009247CF"/>
    <w:rsid w:val="009320E7"/>
    <w:rsid w:val="009543D7"/>
    <w:rsid w:val="009707F8"/>
    <w:rsid w:val="00995CE6"/>
    <w:rsid w:val="009A29B6"/>
    <w:rsid w:val="009A6105"/>
    <w:rsid w:val="009B370B"/>
    <w:rsid w:val="009B6E98"/>
    <w:rsid w:val="009C4DE5"/>
    <w:rsid w:val="009D0675"/>
    <w:rsid w:val="00A00F83"/>
    <w:rsid w:val="00A10CA7"/>
    <w:rsid w:val="00A224EB"/>
    <w:rsid w:val="00A23A5D"/>
    <w:rsid w:val="00A5562E"/>
    <w:rsid w:val="00A62BC4"/>
    <w:rsid w:val="00A66B4C"/>
    <w:rsid w:val="00A81E30"/>
    <w:rsid w:val="00AB4473"/>
    <w:rsid w:val="00AE0A06"/>
    <w:rsid w:val="00B176E9"/>
    <w:rsid w:val="00B4165E"/>
    <w:rsid w:val="00B50568"/>
    <w:rsid w:val="00B53515"/>
    <w:rsid w:val="00B85F85"/>
    <w:rsid w:val="00C05748"/>
    <w:rsid w:val="00C115B3"/>
    <w:rsid w:val="00C40896"/>
    <w:rsid w:val="00C46FA8"/>
    <w:rsid w:val="00C720AF"/>
    <w:rsid w:val="00CA26D1"/>
    <w:rsid w:val="00D27BA7"/>
    <w:rsid w:val="00D63F73"/>
    <w:rsid w:val="00DB7ADD"/>
    <w:rsid w:val="00DF1B7B"/>
    <w:rsid w:val="00DF1F64"/>
    <w:rsid w:val="00E9287A"/>
    <w:rsid w:val="00EC5E5E"/>
    <w:rsid w:val="00ED1A99"/>
    <w:rsid w:val="00F30662"/>
    <w:rsid w:val="00F57119"/>
    <w:rsid w:val="00F60F9C"/>
    <w:rsid w:val="00F80C30"/>
    <w:rsid w:val="00F83D61"/>
    <w:rsid w:val="00F90CAC"/>
    <w:rsid w:val="00FA5B0A"/>
    <w:rsid w:val="00FB2980"/>
    <w:rsid w:val="00FB7359"/>
    <w:rsid w:val="00FB790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DE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43"/>
  </w:style>
  <w:style w:type="paragraph" w:styleId="Stopka">
    <w:name w:val="footer"/>
    <w:basedOn w:val="Normalny"/>
    <w:link w:val="Stopka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43"/>
  </w:style>
  <w:style w:type="paragraph" w:customStyle="1" w:styleId="Default">
    <w:name w:val="Default"/>
    <w:rsid w:val="008B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14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D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F9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3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3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3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D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43"/>
  </w:style>
  <w:style w:type="paragraph" w:styleId="Stopka">
    <w:name w:val="footer"/>
    <w:basedOn w:val="Normalny"/>
    <w:link w:val="Stopka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43"/>
  </w:style>
  <w:style w:type="paragraph" w:customStyle="1" w:styleId="Default">
    <w:name w:val="Default"/>
    <w:rsid w:val="008B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14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D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7A61-6603-49C4-A851-C327BE80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3746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Dardziński, Michał</dc:creator>
  <cp:lastModifiedBy>kjasnos</cp:lastModifiedBy>
  <cp:revision>53</cp:revision>
  <dcterms:created xsi:type="dcterms:W3CDTF">2023-06-04T12:58:00Z</dcterms:created>
  <dcterms:modified xsi:type="dcterms:W3CDTF">2023-06-06T07:22:00Z</dcterms:modified>
</cp:coreProperties>
</file>