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0182" w:rsidRPr="00D501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„Na Śliwkowym Szlaku”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D50182">
        <w:rPr>
          <w:rFonts w:ascii="Times New Roman" w:hAnsi="Times New Roman" w:cs="Times New Roman"/>
          <w:color w:val="000000" w:themeColor="text1"/>
          <w:sz w:val="20"/>
          <w:szCs w:val="20"/>
        </w:rPr>
        <w:t>Iwkowej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D50182" w:rsidRDefault="0063034A" w:rsidP="00D50182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D50182">
        <w:rPr>
          <w:rFonts w:ascii="Times New Roman" w:hAnsi="Times New Roman" w:cs="Times New Roman"/>
          <w:color w:val="000000" w:themeColor="text1"/>
          <w:sz w:val="20"/>
          <w:szCs w:val="20"/>
        </w:rPr>
        <w:t>biuro@nasliwkowymszlaku.pl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01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D50182" w:rsidRPr="00D50182">
        <w:rPr>
          <w:rFonts w:ascii="Times New Roman" w:hAnsi="Times New Roman" w:cs="Times New Roman"/>
          <w:color w:val="000000" w:themeColor="text1"/>
          <w:sz w:val="20"/>
          <w:szCs w:val="20"/>
        </w:rPr>
        <w:t>32-861 Iwkowa 468</w:t>
      </w:r>
      <w:r w:rsidRPr="00D501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D50182" w:rsidRPr="00036566">
          <w:rPr>
            <w:rStyle w:val="Hipercze"/>
            <w:rFonts w:ascii="Times New Roman" w:hAnsi="Times New Roman" w:cs="Times New Roman"/>
            <w:sz w:val="20"/>
            <w:szCs w:val="20"/>
          </w:rPr>
          <w:t>biuro@nasliwkowymszlaku.pl</w:t>
        </w:r>
      </w:hyperlink>
      <w:r w:rsidR="00D501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D50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„Na Śliwkowym Szlaku”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D50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Iwkowej (adres do </w:t>
            </w:r>
            <w:r w:rsidR="0025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korespondencji: 32-861 Iwkowa 468)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25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„Na Śliwkowym Szlaku”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25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Iwkowej (adres do korespondencji: 32-861 Iwkowa 468)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C51903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C51903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7C6C" w:rsidRPr="00252544" w:rsidRDefault="00C51903" w:rsidP="00252544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252544" w:rsidRPr="0003656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biuro@nasliwkowymszlaku.pl</w:t>
              </w:r>
            </w:hyperlink>
            <w:r w:rsidR="0025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bookmarkStart w:id="0" w:name="_GoBack"/>
            <w:bookmarkEnd w:id="0"/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56" w:rsidRDefault="00200856" w:rsidP="007417CA">
      <w:pPr>
        <w:spacing w:after="0" w:line="240" w:lineRule="auto"/>
      </w:pPr>
      <w:r>
        <w:separator/>
      </w:r>
    </w:p>
  </w:endnote>
  <w:endnote w:type="continuationSeparator" w:id="0">
    <w:p w:rsidR="00200856" w:rsidRDefault="0020085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C5190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C5190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C5C2E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C5190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C5190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C5190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C5C2E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C5190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56" w:rsidRDefault="00200856" w:rsidP="007417CA">
      <w:pPr>
        <w:spacing w:after="0" w:line="240" w:lineRule="auto"/>
      </w:pPr>
      <w:r>
        <w:separator/>
      </w:r>
    </w:p>
  </w:footnote>
  <w:footnote w:type="continuationSeparator" w:id="0">
    <w:p w:rsidR="00200856" w:rsidRDefault="00200856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00856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52544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C5C2E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51903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CF3223"/>
    <w:rsid w:val="00D00499"/>
    <w:rsid w:val="00D00B32"/>
    <w:rsid w:val="00D00EFF"/>
    <w:rsid w:val="00D06C2D"/>
    <w:rsid w:val="00D11044"/>
    <w:rsid w:val="00D36897"/>
    <w:rsid w:val="00D50182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90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biuro@nasliwkowymszlaku.pl" TargetMode="External"/><Relationship Id="rId17" Type="http://schemas.openxmlformats.org/officeDocument/2006/relationships/hyperlink" Target="mailto:biuro@nasliwkowymszlak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B71F-2A3C-4BC5-A47E-57670E73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2449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kjasnos</cp:lastModifiedBy>
  <cp:revision>2</cp:revision>
  <cp:lastPrinted>2018-06-05T07:19:00Z</cp:lastPrinted>
  <dcterms:created xsi:type="dcterms:W3CDTF">2020-08-16T19:25:00Z</dcterms:created>
  <dcterms:modified xsi:type="dcterms:W3CDTF">2020-08-16T19:25:00Z</dcterms:modified>
</cp:coreProperties>
</file>