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A430CE" w:rsidRDefault="00B2729D" w:rsidP="00FE3A5D">
            <w:pPr>
              <w:jc w:val="center"/>
              <w:rPr>
                <w:rFonts w:ascii="Times New Roman" w:hAnsi="Times New Roman" w:cs="Times New Roman"/>
                <w:b/>
                <w:lang w:eastAsia="ar-SA"/>
              </w:rPr>
            </w:pPr>
            <w:r>
              <w:rPr>
                <w:rFonts w:ascii="Times New Roman" w:hAnsi="Times New Roman" w:cs="Times New Roman"/>
                <w:b/>
                <w:lang w:eastAsia="ar-SA"/>
              </w:rPr>
              <w:t>Nabór nr 1</w:t>
            </w:r>
            <w:r w:rsidR="00FE3A5D" w:rsidRPr="00A430CE">
              <w:rPr>
                <w:rFonts w:ascii="Times New Roman" w:hAnsi="Times New Roman" w:cs="Times New Roman"/>
                <w:b/>
                <w:lang w:eastAsia="ar-SA"/>
              </w:rPr>
              <w:t>/201</w:t>
            </w:r>
            <w:r>
              <w:rPr>
                <w:rFonts w:ascii="Times New Roman" w:hAnsi="Times New Roman" w:cs="Times New Roman"/>
                <w:b/>
                <w:lang w:eastAsia="ar-SA"/>
              </w:rPr>
              <w:t>8</w:t>
            </w:r>
            <w:bookmarkStart w:id="0" w:name="_GoBack"/>
            <w:bookmarkEnd w:id="0"/>
            <w:r w:rsidR="00FE3A5D" w:rsidRPr="00A430CE">
              <w:t xml:space="preserve"> </w:t>
            </w:r>
            <w:r w:rsidR="00A430CE" w:rsidRPr="00A430CE">
              <w:rPr>
                <w:rFonts w:ascii="Times New Roman" w:hAnsi="Times New Roman" w:cs="Times New Roman"/>
                <w:b/>
                <w:lang w:eastAsia="ar-SA"/>
              </w:rPr>
              <w:t>zachowanie dziedzictwa lokalnego</w:t>
            </w:r>
          </w:p>
          <w:p w:rsidR="00FE3A5D" w:rsidRPr="00A430CE" w:rsidRDefault="00A430CE" w:rsidP="00FD3911">
            <w:pPr>
              <w:jc w:val="center"/>
              <w:rPr>
                <w:rFonts w:ascii="Times New Roman" w:hAnsi="Times New Roman" w:cs="Times New Roman"/>
                <w:b/>
                <w:lang w:eastAsia="ar-SA"/>
              </w:rPr>
            </w:pPr>
            <w:r w:rsidRPr="00A430CE">
              <w:rPr>
                <w:rFonts w:ascii="Times New Roman" w:hAnsi="Times New Roman" w:cs="Times New Roman"/>
                <w:b/>
                <w:lang w:eastAsia="ar-SA"/>
              </w:rPr>
              <w:t>(wskaźnik produktu: Liczba zabytków poddanych pracom konserwatorskim lub restauratorskim w wyniku wsparcia otrzymanego w ramach realizacji strategii)</w:t>
            </w:r>
            <w:r>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60286">
              <w:rPr>
                <w:rFonts w:ascii="Times New Roman" w:eastAsia="Times New Roman" w:hAnsi="Times New Roman" w:cs="Times New Roman"/>
                <w:b/>
                <w:color w:val="000000"/>
                <w:sz w:val="18"/>
                <w:szCs w:val="18"/>
                <w:lang w:eastAsia="pl-PL"/>
              </w:rPr>
              <w:t>**</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xml:space="preserve">. Kryterium weryfikowane jest na podstawie opisu projektu, w którym należy konkretnie </w:t>
            </w:r>
            <w:r w:rsidRPr="00FF6254">
              <w:rPr>
                <w:rFonts w:ascii="Times New Roman" w:hAnsi="Times New Roman" w:cs="Times New Roman"/>
                <w:sz w:val="18"/>
                <w:szCs w:val="18"/>
              </w:rPr>
              <w:lastRenderedPageBreak/>
              <w:t>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A60286">
              <w:rPr>
                <w:rFonts w:ascii="Times New Roman" w:eastAsia="Times New Roman" w:hAnsi="Times New Roman" w:cs="Times New Roman"/>
                <w:b/>
                <w:color w:val="000000"/>
                <w:sz w:val="18"/>
                <w:szCs w:val="18"/>
                <w:lang w:eastAsia="pl-PL"/>
              </w:rPr>
              <w:t>defaworyzowanych*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w:t>
            </w:r>
            <w:r w:rsidRPr="009C6A70">
              <w:rPr>
                <w:rFonts w:ascii="Times New Roman" w:hAnsi="Times New Roman" w:cs="Times New Roman"/>
                <w:sz w:val="18"/>
                <w:szCs w:val="18"/>
              </w:rPr>
              <w:lastRenderedPageBreak/>
              <w:t>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3E4EAB" w:rsidRPr="003E4EAB"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Kryterium weryfikowane na podstawie dołączonych do wniosku prawomocnych dokumentów potwierdzających stan przygotowania do realizacji:</w:t>
            </w:r>
          </w:p>
          <w:p w:rsidR="003E4EAB" w:rsidRPr="003E4EAB"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 xml:space="preserve">- </w:t>
            </w:r>
            <w:r w:rsidRPr="003E4EAB">
              <w:rPr>
                <w:rFonts w:ascii="Times New Roman" w:eastAsia="Times New Roman" w:hAnsi="Times New Roman" w:cs="Times New Roman"/>
                <w:sz w:val="18"/>
                <w:szCs w:val="18"/>
                <w:u w:val="single"/>
                <w:lang w:eastAsia="pl-PL"/>
              </w:rPr>
              <w:t>operacji inwestycyjnych</w:t>
            </w:r>
            <w:r w:rsidRPr="003E4EAB">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3E4EAB" w:rsidP="003E4EAB">
            <w:pPr>
              <w:jc w:val="center"/>
              <w:rPr>
                <w:rFonts w:ascii="Times New Roman" w:eastAsia="Times New Roman" w:hAnsi="Times New Roman" w:cs="Times New Roman"/>
                <w:sz w:val="18"/>
                <w:szCs w:val="18"/>
                <w:lang w:eastAsia="pl-PL"/>
              </w:rPr>
            </w:pPr>
            <w:r w:rsidRPr="003E4EAB">
              <w:rPr>
                <w:rFonts w:ascii="Times New Roman" w:eastAsia="Times New Roman" w:hAnsi="Times New Roman" w:cs="Times New Roman"/>
                <w:sz w:val="18"/>
                <w:szCs w:val="18"/>
                <w:lang w:eastAsia="pl-PL"/>
              </w:rPr>
              <w:t xml:space="preserve">- </w:t>
            </w:r>
            <w:r w:rsidRPr="003E4EAB">
              <w:rPr>
                <w:rFonts w:ascii="Times New Roman" w:eastAsia="Times New Roman" w:hAnsi="Times New Roman" w:cs="Times New Roman"/>
                <w:sz w:val="18"/>
                <w:szCs w:val="18"/>
                <w:u w:val="single"/>
                <w:lang w:eastAsia="pl-PL"/>
              </w:rPr>
              <w:t>operacji nieinwestycyjnych</w:t>
            </w:r>
            <w:r w:rsidRPr="003E4EAB">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w:t>
            </w:r>
            <w:r w:rsidRPr="00C97FEA">
              <w:rPr>
                <w:rFonts w:ascii="Times New Roman" w:eastAsia="Times New Roman" w:hAnsi="Times New Roman" w:cs="Times New Roman"/>
                <w:sz w:val="18"/>
                <w:szCs w:val="18"/>
                <w:lang w:eastAsia="pl-PL"/>
              </w:rPr>
              <w:lastRenderedPageBreak/>
              <w:t xml:space="preserve">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1044"/>
          <w:jc w:val="center"/>
        </w:trPr>
        <w:tc>
          <w:tcPr>
            <w:tcW w:w="514" w:type="dxa"/>
            <w:vMerge w:val="restart"/>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A430CE" w:rsidRPr="00FF6254" w:rsidRDefault="00A430CE"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A430CE" w:rsidRPr="00FF6254" w:rsidRDefault="00A430CE"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A430CE" w:rsidRPr="00FF6254" w:rsidRDefault="00A430CE"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A430CE" w:rsidRDefault="00A430CE" w:rsidP="002716E5">
            <w:pPr>
              <w:jc w:val="center"/>
              <w:rPr>
                <w:rFonts w:ascii="Times New Roman" w:eastAsia="Times New Roman" w:hAnsi="Times New Roman" w:cs="Times New Roman"/>
                <w:sz w:val="18"/>
                <w:szCs w:val="18"/>
                <w:lang w:eastAsia="pl-PL"/>
              </w:rPr>
            </w:pPr>
          </w:p>
          <w:p w:rsidR="00A430CE" w:rsidRPr="000A7781" w:rsidRDefault="00A430CE" w:rsidP="002716E5">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Kryterium weryfikowane na podstawie informacji dotyczącej zobowiązania do zatrudnienia ujętej we wniosku w </w:t>
            </w:r>
            <w:r w:rsidRPr="000A7781">
              <w:rPr>
                <w:rFonts w:ascii="Times New Roman" w:hAnsi="Times New Roman" w:cs="Times New Roman"/>
                <w:sz w:val="18"/>
                <w:szCs w:val="18"/>
              </w:rPr>
              <w:t xml:space="preserve">pozycji dotyczącej wskaźników wraz ze zobowiązaniem do zatrudnienia </w:t>
            </w:r>
            <w:r w:rsidRPr="000A7781">
              <w:rPr>
                <w:rFonts w:ascii="Times New Roman" w:eastAsia="Times New Roman" w:hAnsi="Times New Roman" w:cs="Times New Roman"/>
                <w:sz w:val="18"/>
                <w:szCs w:val="18"/>
                <w:lang w:eastAsia="pl-PL"/>
              </w:rPr>
              <w:t>osoby defaworyzowanej (jeśli dotyczy</w:t>
            </w:r>
            <w:r w:rsidRPr="000A7781">
              <w:rPr>
                <w:rFonts w:ascii="Times New Roman" w:hAnsi="Times New Roman" w:cs="Times New Roman"/>
                <w:sz w:val="18"/>
                <w:szCs w:val="18"/>
              </w:rPr>
              <w:t xml:space="preserve">). </w:t>
            </w:r>
            <w:r w:rsidRPr="000A7781">
              <w:rPr>
                <w:rFonts w:ascii="Times New Roman" w:eastAsia="Times New Roman" w:hAnsi="Times New Roman" w:cs="Times New Roman"/>
                <w:sz w:val="18"/>
                <w:szCs w:val="18"/>
                <w:lang w:eastAsia="pl-PL"/>
              </w:rPr>
              <w:t>Grupy defaworyzowane ze względu na dostęp do rynku pracy dla obszaru LSR: bezrobotna młodzież do lat 35 (wymagane potwierdzenie rejestracji jako osoby bezrobotnej, minimum 60 dni przed zatrudnieniem), kobiety powracające na rynek pracy po wychowaniu dziecka (wymagane potwierdzenie przebywania na urlopie macierzyńskim lub macierzyńskim i wychowawczym oraz rejestracji jako osoby bezrobotnej), osoby niepełnosprawne (wymagany dokument potwierdzający niepełnosprawność). D</w:t>
            </w:r>
            <w:r w:rsidRPr="000A7781">
              <w:rPr>
                <w:rFonts w:ascii="Times New Roman" w:hAnsi="Times New Roman" w:cs="Times New Roman"/>
                <w:sz w:val="18"/>
                <w:szCs w:val="18"/>
              </w:rPr>
              <w:t xml:space="preserve">okumenty potwierdzające wywiązanie się ze zobowiązania zatrudnienia osoby defaworyzowanej należy dostarczyć do LGD na etapie monitorowania projektu </w:t>
            </w:r>
            <w:r w:rsidRPr="000A7781">
              <w:rPr>
                <w:rFonts w:ascii="Times New Roman" w:eastAsia="Times New Roman" w:hAnsi="Times New Roman" w:cs="Times New Roman"/>
                <w:sz w:val="18"/>
                <w:szCs w:val="18"/>
                <w:lang w:eastAsia="pl-PL"/>
              </w:rPr>
              <w:t>(Kryterium dotyczy naborów ogłaszanych w zakresie rozwoju przedsiębiorczości na obszarach wiejskich).</w:t>
            </w:r>
          </w:p>
        </w:tc>
        <w:tc>
          <w:tcPr>
            <w:tcW w:w="4061" w:type="dxa"/>
            <w:gridSpan w:val="2"/>
            <w:vMerge w:val="restart"/>
            <w:shd w:val="clear" w:color="auto" w:fill="D9D9D9" w:themeFill="background1" w:themeFillShade="D9"/>
            <w:vAlign w:val="center"/>
          </w:tcPr>
          <w:p w:rsidR="00A430CE" w:rsidRPr="00FF6254" w:rsidRDefault="00A430CE" w:rsidP="00A430CE">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A430CE" w:rsidRPr="00FF6254" w:rsidTr="00A430CE">
        <w:trPr>
          <w:trHeight w:val="525"/>
          <w:jc w:val="center"/>
        </w:trPr>
        <w:tc>
          <w:tcPr>
            <w:tcW w:w="514" w:type="dxa"/>
            <w:vMerge/>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A430CE" w:rsidRPr="002716E5" w:rsidRDefault="00A430CE"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A430CE" w:rsidRPr="00FF6254" w:rsidRDefault="00A430CE"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525"/>
          <w:jc w:val="center"/>
        </w:trPr>
        <w:tc>
          <w:tcPr>
            <w:tcW w:w="514" w:type="dxa"/>
            <w:vMerge/>
            <w:shd w:val="clear" w:color="auto" w:fill="D9D9D9"/>
            <w:vAlign w:val="center"/>
          </w:tcPr>
          <w:p w:rsidR="00A430CE" w:rsidRPr="00FF6254" w:rsidRDefault="00A430CE"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A430CE" w:rsidRPr="000A7781" w:rsidRDefault="00A430CE" w:rsidP="00751D64">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751D64">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A430CE" w:rsidRPr="00FF6254" w:rsidRDefault="00A430CE"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707B3A">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2388"/>
          <w:jc w:val="center"/>
        </w:trPr>
        <w:tc>
          <w:tcPr>
            <w:tcW w:w="514" w:type="dxa"/>
            <w:vMerge/>
            <w:shd w:val="clear" w:color="auto" w:fill="D9D9D9"/>
            <w:vAlign w:val="center"/>
          </w:tcPr>
          <w:p w:rsidR="00A430CE" w:rsidRPr="00FF6254" w:rsidRDefault="00A430CE"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A430CE" w:rsidRPr="000A7781" w:rsidRDefault="00A430CE" w:rsidP="00751D64">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751D64">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A430CE" w:rsidRPr="00FF6254" w:rsidRDefault="00A430CE"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D2693D">
            <w:pPr>
              <w:autoSpaceDE w:val="0"/>
              <w:autoSpaceDN w:val="0"/>
              <w:adjustRightInd w:val="0"/>
              <w:spacing w:before="240" w:after="0"/>
              <w:jc w:val="both"/>
              <w:rPr>
                <w:rFonts w:ascii="Times New Roman" w:hAnsi="Times New Roman" w:cs="Times New Roman"/>
                <w:sz w:val="18"/>
                <w:szCs w:val="18"/>
              </w:rPr>
            </w:pPr>
          </w:p>
        </w:tc>
      </w:tr>
      <w:tr w:rsidR="00A430CE" w:rsidRPr="00FF6254" w:rsidTr="00A430CE">
        <w:trPr>
          <w:trHeight w:val="788"/>
          <w:jc w:val="center"/>
        </w:trPr>
        <w:tc>
          <w:tcPr>
            <w:tcW w:w="514" w:type="dxa"/>
            <w:vMerge w:val="restart"/>
            <w:shd w:val="clear" w:color="auto" w:fill="D9D9D9"/>
            <w:vAlign w:val="center"/>
          </w:tcPr>
          <w:p w:rsidR="00A430CE" w:rsidRPr="00FF6254" w:rsidRDefault="00A430CE"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A430CE" w:rsidRPr="00FF6254" w:rsidRDefault="00A430CE"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8D26B5">
              <w:rPr>
                <w:rFonts w:ascii="Times New Roman" w:hAnsi="Times New Roman" w:cs="Times New Roman"/>
                <w:sz w:val="18"/>
                <w:szCs w:val="18"/>
              </w:rPr>
              <w:t>.</w:t>
            </w:r>
          </w:p>
        </w:tc>
        <w:tc>
          <w:tcPr>
            <w:tcW w:w="570"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p>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A430CE" w:rsidRPr="00894DCF" w:rsidRDefault="00A430CE"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A430CE" w:rsidRPr="00FF6254" w:rsidRDefault="00A430CE"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A430CE" w:rsidRPr="00FF6254" w:rsidTr="00A430CE">
        <w:trPr>
          <w:trHeight w:val="787"/>
          <w:jc w:val="center"/>
        </w:trPr>
        <w:tc>
          <w:tcPr>
            <w:tcW w:w="514" w:type="dxa"/>
            <w:vMerge/>
            <w:shd w:val="clear" w:color="auto" w:fill="D9D9D9"/>
            <w:vAlign w:val="center"/>
          </w:tcPr>
          <w:p w:rsidR="00A430CE" w:rsidRPr="00FF6254" w:rsidRDefault="00A430CE"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A430CE" w:rsidRPr="00FF6254" w:rsidRDefault="00A430CE"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A430CE" w:rsidRPr="00FF6254" w:rsidRDefault="00A430CE" w:rsidP="00560BED">
            <w:pPr>
              <w:jc w:val="center"/>
              <w:rPr>
                <w:rFonts w:ascii="Times New Roman" w:eastAsia="Times New Roman" w:hAnsi="Times New Roman" w:cs="Times New Roman"/>
                <w:bCs/>
                <w:color w:val="000000"/>
                <w:sz w:val="18"/>
                <w:szCs w:val="18"/>
                <w:lang w:eastAsia="pl-PL"/>
              </w:rPr>
            </w:pPr>
          </w:p>
          <w:p w:rsidR="00A430CE" w:rsidRPr="00FF6254" w:rsidRDefault="00A430CE"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A430CE" w:rsidRPr="00FF6254" w:rsidRDefault="00A430CE"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A430CE" w:rsidRPr="00FF6254" w:rsidRDefault="00A430CE"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A430CE" w:rsidRPr="00FF6254" w:rsidRDefault="00A430CE"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Preferowane są wnioski beneficjentów będących partnerami LGD „Na Śliwkowym Szlaku”, co rozumie się przez podmiot/osobę, która jest zaangażowana w</w:t>
            </w:r>
            <w:r w:rsidR="00751D64">
              <w:rPr>
                <w:rFonts w:ascii="Times New Roman" w:hAnsi="Times New Roman" w:cs="Times New Roman"/>
                <w:sz w:val="18"/>
                <w:szCs w:val="18"/>
              </w:rPr>
              <w:t xml:space="preserve"> nieodpłatne</w:t>
            </w:r>
            <w:r w:rsidRPr="00B024F5">
              <w:rPr>
                <w:rFonts w:ascii="Times New Roman" w:hAnsi="Times New Roman" w:cs="Times New Roman"/>
                <w:sz w:val="18"/>
                <w:szCs w:val="18"/>
              </w:rPr>
              <w:t xml:space="preserve"> 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990"/>
          <w:jc w:val="center"/>
        </w:trPr>
        <w:tc>
          <w:tcPr>
            <w:tcW w:w="514" w:type="dxa"/>
            <w:vMerge w:val="restart"/>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CB3845" w:rsidRDefault="00CB3845" w:rsidP="00CD29FA">
            <w:pPr>
              <w:autoSpaceDE w:val="0"/>
              <w:autoSpaceDN w:val="0"/>
              <w:adjustRightInd w:val="0"/>
              <w:spacing w:after="0"/>
              <w:jc w:val="center"/>
              <w:rPr>
                <w:rFonts w:ascii="Times New Roman" w:hAnsi="Times New Roman" w:cs="Times New Roman"/>
                <w:b/>
                <w:sz w:val="18"/>
                <w:szCs w:val="18"/>
              </w:rPr>
            </w:pP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CB3845" w:rsidRPr="00CD29FA"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CB3845" w:rsidRDefault="00CB3845"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CB3845" w:rsidRPr="00FF6254" w:rsidRDefault="00CB3845"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CB3845" w:rsidRPr="00FF6254" w:rsidRDefault="00CB3845"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CB3845" w:rsidRPr="00FF6254" w:rsidRDefault="00CB3845"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CB3845" w:rsidRPr="00CD29FA" w:rsidRDefault="00CB3845"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B3845" w:rsidRPr="00FF6254" w:rsidTr="00CB3845">
        <w:trPr>
          <w:trHeight w:val="1005"/>
          <w:jc w:val="center"/>
        </w:trPr>
        <w:tc>
          <w:tcPr>
            <w:tcW w:w="514" w:type="dxa"/>
            <w:vMerge/>
            <w:shd w:val="clear" w:color="auto" w:fill="D9D9D9"/>
            <w:vAlign w:val="center"/>
          </w:tcPr>
          <w:p w:rsidR="00CB3845" w:rsidRDefault="00CB3845"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CB3845" w:rsidRDefault="00CB3845"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CB3845" w:rsidRPr="00CD29FA" w:rsidRDefault="00CB3845"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p>
        </w:tc>
      </w:tr>
      <w:tr w:rsidR="00CB3845" w:rsidRPr="00FF6254" w:rsidTr="00CB3845">
        <w:trPr>
          <w:trHeight w:val="947"/>
          <w:jc w:val="center"/>
        </w:trPr>
        <w:tc>
          <w:tcPr>
            <w:tcW w:w="514" w:type="dxa"/>
            <w:vMerge w:val="restart"/>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CB3845" w:rsidRPr="00CD29FA" w:rsidRDefault="00CB3845"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CB3845" w:rsidRPr="00FF6254" w:rsidRDefault="00CB3845"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Wnioskodawca zapewnia udział wkładu własnego w wysokości wyższej niż minimalny wymagany wkład wskazany określony w LSR oraz w dokumentacji konkursowej, liczony od całkowitej kwoty projektu</w:t>
            </w:r>
            <w:r>
              <w:rPr>
                <w:rFonts w:ascii="Times New Roman" w:hAnsi="Times New Roman" w:cs="Times New Roman"/>
                <w:sz w:val="18"/>
                <w:szCs w:val="18"/>
              </w:rPr>
              <w:t>.</w:t>
            </w:r>
          </w:p>
        </w:tc>
        <w:tc>
          <w:tcPr>
            <w:tcW w:w="4061" w:type="dxa"/>
            <w:gridSpan w:val="2"/>
            <w:vMerge w:val="restart"/>
            <w:shd w:val="clear" w:color="auto" w:fill="D9D9D9" w:themeFill="background1" w:themeFillShade="D9"/>
            <w:vAlign w:val="center"/>
          </w:tcPr>
          <w:p w:rsidR="00CB3845" w:rsidRPr="00FF6254" w:rsidRDefault="00CB3845"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B3845" w:rsidRPr="00FF6254" w:rsidTr="00CB3845">
        <w:trPr>
          <w:trHeight w:val="988"/>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975"/>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CB3845" w:rsidRPr="00FF6254" w:rsidRDefault="00CB3845"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396"/>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CB3845" w:rsidRPr="00FF6254" w:rsidRDefault="00CB3845"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CB3845" w:rsidRPr="00FF6254" w:rsidRDefault="00CB3845"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CB3845" w:rsidRPr="00FF6254" w:rsidTr="00CB3845">
        <w:trPr>
          <w:trHeight w:val="218"/>
          <w:jc w:val="center"/>
        </w:trPr>
        <w:tc>
          <w:tcPr>
            <w:tcW w:w="514" w:type="dxa"/>
            <w:vMerge/>
            <w:shd w:val="clear" w:color="auto" w:fill="D9D9D9"/>
            <w:vAlign w:val="center"/>
          </w:tcPr>
          <w:p w:rsidR="00CB3845" w:rsidRPr="00FF6254" w:rsidRDefault="00CB3845"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CB3845" w:rsidRPr="00FF6254" w:rsidRDefault="00CB3845"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CB3845" w:rsidRPr="00FF6254" w:rsidRDefault="00CB3845"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CB3845" w:rsidRPr="00FF6254" w:rsidRDefault="00CB3845"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CB3845" w:rsidRPr="00FF6254" w:rsidRDefault="00CB3845"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CB3845" w:rsidRPr="00FF6254" w:rsidRDefault="00CB3845"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B3845" w:rsidRPr="00FF6254" w:rsidRDefault="00CB3845"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C9578E" w:rsidRPr="00FF6254" w:rsidTr="00C9578E">
        <w:trPr>
          <w:trHeight w:val="1320"/>
          <w:jc w:val="center"/>
        </w:trPr>
        <w:tc>
          <w:tcPr>
            <w:tcW w:w="514" w:type="dxa"/>
            <w:vMerge w:val="restart"/>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p w:rsidR="00C9578E" w:rsidRPr="00FF6254" w:rsidRDefault="00C9578E"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C9578E" w:rsidRDefault="00C9578E"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C9578E" w:rsidRPr="00232EBA" w:rsidRDefault="00C9578E"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C9578E" w:rsidRPr="00232EBA" w:rsidRDefault="00C9578E"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C9578E" w:rsidRPr="00FF6254" w:rsidRDefault="00C9578E"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C9578E" w:rsidRPr="00FF6254" w:rsidRDefault="00C9578E" w:rsidP="00C9578E">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C9578E" w:rsidRPr="00FF6254" w:rsidTr="00C9578E">
        <w:trPr>
          <w:trHeight w:val="1320"/>
          <w:jc w:val="center"/>
        </w:trPr>
        <w:tc>
          <w:tcPr>
            <w:tcW w:w="514" w:type="dxa"/>
            <w:vMerge/>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C9578E" w:rsidRPr="00232EBA" w:rsidRDefault="00C9578E"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p>
        </w:tc>
        <w:tc>
          <w:tcPr>
            <w:tcW w:w="3284"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both"/>
              <w:rPr>
                <w:rFonts w:ascii="Times New Roman" w:hAnsi="Times New Roman" w:cs="Times New Roman"/>
                <w:sz w:val="18"/>
                <w:szCs w:val="18"/>
              </w:rPr>
            </w:pPr>
          </w:p>
        </w:tc>
      </w:tr>
      <w:tr w:rsidR="00C9578E" w:rsidRPr="00FF6254" w:rsidTr="00C9578E">
        <w:trPr>
          <w:trHeight w:val="1320"/>
          <w:jc w:val="center"/>
        </w:trPr>
        <w:tc>
          <w:tcPr>
            <w:tcW w:w="514" w:type="dxa"/>
            <w:vMerge/>
            <w:shd w:val="clear" w:color="auto" w:fill="D9D9D9"/>
            <w:vAlign w:val="center"/>
          </w:tcPr>
          <w:p w:rsidR="00C9578E" w:rsidRPr="00FF6254" w:rsidRDefault="00C9578E"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C9578E" w:rsidRPr="00FF6254" w:rsidRDefault="00C9578E"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C9578E" w:rsidRPr="00FF6254" w:rsidRDefault="00C9578E"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C9578E" w:rsidRPr="00232EBA" w:rsidRDefault="00C9578E"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C9578E" w:rsidRPr="00FF6254" w:rsidRDefault="00C9578E"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C9578E" w:rsidRPr="00FF6254" w:rsidRDefault="00C9578E" w:rsidP="00797251">
            <w:pPr>
              <w:autoSpaceDE w:val="0"/>
              <w:autoSpaceDN w:val="0"/>
              <w:adjustRightInd w:val="0"/>
              <w:spacing w:before="240" w:after="0"/>
              <w:jc w:val="both"/>
              <w:rPr>
                <w:rFonts w:ascii="Times New Roman" w:hAnsi="Times New Roman" w:cs="Times New Roman"/>
                <w:sz w:val="18"/>
                <w:szCs w:val="18"/>
              </w:rPr>
            </w:pPr>
          </w:p>
        </w:tc>
      </w:tr>
      <w:tr w:rsidR="005A7E6F" w:rsidRPr="00FF6254" w:rsidTr="005A7E6F">
        <w:trPr>
          <w:trHeight w:val="1711"/>
          <w:jc w:val="center"/>
        </w:trPr>
        <w:tc>
          <w:tcPr>
            <w:tcW w:w="514" w:type="dxa"/>
            <w:vMerge w:val="restart"/>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5A7E6F" w:rsidRDefault="005A7E6F" w:rsidP="002920D9">
            <w:pPr>
              <w:jc w:val="center"/>
              <w:rPr>
                <w:rFonts w:ascii="Times New Roman" w:hAnsi="Times New Roman" w:cs="Times New Roman"/>
                <w:b/>
                <w:color w:val="000000" w:themeColor="text1"/>
                <w:sz w:val="18"/>
                <w:szCs w:val="18"/>
              </w:rPr>
            </w:pPr>
          </w:p>
          <w:p w:rsidR="005A7E6F" w:rsidRPr="00FF6254" w:rsidRDefault="005A7E6F"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5A7E6F" w:rsidRPr="00FF6254" w:rsidRDefault="005A7E6F"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5A7E6F" w:rsidRPr="00EF68A0" w:rsidRDefault="005A7E6F"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A7E6F" w:rsidRPr="00EF68A0" w:rsidRDefault="005A7E6F"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5A7E6F" w:rsidRPr="002A7D2B"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r w:rsidRPr="002A7D2B">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5A7E6F" w:rsidRPr="00FF6254" w:rsidRDefault="005A7E6F" w:rsidP="005A7E6F">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A7E6F" w:rsidRPr="00FF6254" w:rsidTr="005A7E6F">
        <w:trPr>
          <w:trHeight w:val="1396"/>
          <w:jc w:val="center"/>
        </w:trPr>
        <w:tc>
          <w:tcPr>
            <w:tcW w:w="514" w:type="dxa"/>
            <w:vMerge/>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A7E6F" w:rsidRPr="00FF6254" w:rsidRDefault="005A7E6F"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5A7E6F" w:rsidRPr="00EF68A0" w:rsidRDefault="005A7E6F"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5A7E6F" w:rsidRPr="00FF6254" w:rsidRDefault="005A7E6F"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both"/>
              <w:rPr>
                <w:rFonts w:ascii="Times New Roman" w:hAnsi="Times New Roman" w:cs="Times New Roman"/>
                <w:sz w:val="18"/>
                <w:szCs w:val="18"/>
              </w:rPr>
            </w:pPr>
          </w:p>
        </w:tc>
      </w:tr>
      <w:tr w:rsidR="005A7E6F" w:rsidRPr="00FF6254" w:rsidTr="005A7E6F">
        <w:trPr>
          <w:trHeight w:val="863"/>
          <w:jc w:val="center"/>
        </w:trPr>
        <w:tc>
          <w:tcPr>
            <w:tcW w:w="514" w:type="dxa"/>
            <w:vMerge w:val="restart"/>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5A7E6F" w:rsidRPr="00FF6254" w:rsidRDefault="005A7E6F"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A7E6F" w:rsidRPr="00FF6254" w:rsidRDefault="005A7E6F"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5A7E6F" w:rsidRPr="00B65E67" w:rsidRDefault="005A7E6F"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4061" w:type="dxa"/>
            <w:gridSpan w:val="2"/>
            <w:vMerge w:val="restart"/>
            <w:shd w:val="clear" w:color="auto" w:fill="D9D9D9" w:themeFill="background1" w:themeFillShade="D9"/>
            <w:vAlign w:val="center"/>
          </w:tcPr>
          <w:p w:rsidR="005A7E6F" w:rsidRPr="00FF6254" w:rsidRDefault="005A7E6F"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A7E6F" w:rsidRPr="00FF6254" w:rsidTr="005A7E6F">
        <w:trPr>
          <w:trHeight w:val="862"/>
          <w:jc w:val="center"/>
        </w:trPr>
        <w:tc>
          <w:tcPr>
            <w:tcW w:w="514" w:type="dxa"/>
            <w:vMerge/>
            <w:shd w:val="clear" w:color="auto" w:fill="D9D9D9"/>
            <w:vAlign w:val="center"/>
          </w:tcPr>
          <w:p w:rsidR="005A7E6F" w:rsidRPr="00FF6254" w:rsidRDefault="005A7E6F"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A7E6F" w:rsidRPr="00FF6254" w:rsidRDefault="005A7E6F"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A7E6F" w:rsidRPr="00FF6254" w:rsidRDefault="005A7E6F"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5A7E6F" w:rsidRPr="00B65E67" w:rsidRDefault="005A7E6F"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5A7E6F" w:rsidRPr="00FF6254" w:rsidRDefault="005A7E6F"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A7E6F" w:rsidRPr="00FF6254" w:rsidRDefault="005A7E6F" w:rsidP="002920D9">
            <w:pPr>
              <w:autoSpaceDE w:val="0"/>
              <w:autoSpaceDN w:val="0"/>
              <w:adjustRightInd w:val="0"/>
              <w:spacing w:before="240" w:after="0"/>
              <w:jc w:val="both"/>
              <w:rPr>
                <w:rFonts w:ascii="Times New Roman" w:hAnsi="Times New Roman" w:cs="Times New Roman"/>
                <w:sz w:val="18"/>
                <w:szCs w:val="18"/>
              </w:rPr>
            </w:pPr>
          </w:p>
        </w:tc>
      </w:tr>
    </w:tbl>
    <w:p w:rsidR="005774A0" w:rsidRPr="002A7D2B" w:rsidRDefault="005774A0" w:rsidP="005774A0">
      <w:pPr>
        <w:pStyle w:val="Akapitzlist"/>
        <w:tabs>
          <w:tab w:val="left" w:pos="6265"/>
        </w:tabs>
        <w:rPr>
          <w:rFonts w:ascii="Times New Roman" w:hAnsi="Times New Roman" w:cs="Times New Roman"/>
          <w:sz w:val="20"/>
          <w:szCs w:val="20"/>
        </w:rPr>
      </w:pPr>
      <w:r w:rsidRPr="002A7D2B">
        <w:rPr>
          <w:rFonts w:ascii="Times New Roman" w:hAnsi="Times New Roman" w:cs="Times New Roman"/>
          <w:sz w:val="20"/>
          <w:szCs w:val="20"/>
        </w:rPr>
        <w:t>* kryterium strategiczne pierwsze</w:t>
      </w:r>
    </w:p>
    <w:p w:rsidR="005774A0" w:rsidRPr="002A7D2B" w:rsidRDefault="005774A0" w:rsidP="005774A0">
      <w:pPr>
        <w:pStyle w:val="Akapitzlist"/>
        <w:tabs>
          <w:tab w:val="left" w:pos="6265"/>
        </w:tabs>
        <w:rPr>
          <w:rFonts w:ascii="Times New Roman" w:hAnsi="Times New Roman" w:cs="Times New Roman"/>
          <w:sz w:val="20"/>
          <w:szCs w:val="20"/>
        </w:rPr>
      </w:pPr>
      <w:r w:rsidRPr="002A7D2B">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7A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A7D2B"/>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4EAB"/>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D18"/>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A7E6F"/>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639"/>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1EF2"/>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D64"/>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6B5"/>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A1"/>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0C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28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29D"/>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78E"/>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845"/>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AD"/>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A88"/>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CB727-873F-4E8F-B81D-E6904CF2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5B3E-9BC8-436A-BF5A-F7A3BC5B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2529</Words>
  <Characters>15176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12</cp:revision>
  <cp:lastPrinted>2015-12-29T19:40:00Z</cp:lastPrinted>
  <dcterms:created xsi:type="dcterms:W3CDTF">2017-09-07T11:07:00Z</dcterms:created>
  <dcterms:modified xsi:type="dcterms:W3CDTF">2017-11-03T10:04:00Z</dcterms:modified>
</cp:coreProperties>
</file>